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64A" w:rsidRPr="00E0064A" w:rsidRDefault="00F60A33" w:rsidP="00E0064A">
      <w:pPr>
        <w:pStyle w:val="TOC"/>
        <w:jc w:val="center"/>
        <w:rPr>
          <w:rFonts w:ascii="Calibri" w:hAnsi="Calibri" w:cs="宋体"/>
          <w:szCs w:val="21"/>
        </w:rPr>
      </w:pPr>
      <w:r w:rsidRPr="00F60A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96.75pt;margin-top:-8.75pt;width:1090.5pt;height:1248pt;z-index:-3">
            <v:imagedata r:id="rId8" o:title="wps_clip_image-3507"/>
          </v:shape>
        </w:pict>
      </w:r>
      <w:r w:rsidRPr="00F60A33">
        <w:rPr>
          <w:rFonts w:ascii="Calibri" w:hAnsi="Calibri" w:cs="宋体"/>
          <w:szCs w:val="21"/>
        </w:rPr>
        <w:pict>
          <v:shape id="_x0000_i1025" type="#_x0000_t75" alt="" style="width:452.55pt;height:118.75pt">
            <v:imagedata r:id="rId9" r:href="rId10"/>
          </v:shape>
        </w:pict>
      </w:r>
    </w:p>
    <w:p w:rsidR="00E0064A" w:rsidRDefault="00E0064A" w:rsidP="005B1D0C">
      <w:pPr>
        <w:pStyle w:val="TOC"/>
        <w:jc w:val="center"/>
        <w:rPr>
          <w:lang w:val="zh-CN"/>
        </w:rPr>
      </w:pPr>
    </w:p>
    <w:p w:rsidR="00E0064A" w:rsidRDefault="00E0064A" w:rsidP="00E0064A">
      <w:pPr>
        <w:rPr>
          <w:lang w:val="zh-CN"/>
        </w:rPr>
      </w:pPr>
    </w:p>
    <w:p w:rsidR="00E0064A" w:rsidRPr="00E0064A" w:rsidRDefault="00E0064A" w:rsidP="00E0064A">
      <w:pPr>
        <w:widowControl/>
        <w:rPr>
          <w:rFonts w:ascii="Calibri" w:hAnsi="Calibri" w:cs="宋体"/>
          <w:kern w:val="0"/>
          <w:szCs w:val="21"/>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Pr="00E0064A" w:rsidRDefault="00F60A33" w:rsidP="00E0064A">
      <w:pPr>
        <w:rPr>
          <w:lang w:val="zh-CN"/>
        </w:rPr>
      </w:pPr>
      <w:r w:rsidRPr="00F60A33">
        <w:rPr>
          <w:rFonts w:ascii="Calibri" w:hAnsi="Calibri" w:cs="宋体"/>
          <w:kern w:val="0"/>
          <w:szCs w:val="21"/>
        </w:rPr>
        <w:pict>
          <v:shape id="_x0000_i1026" type="#_x0000_t75" alt="" style="width:278.65pt;height:51.45pt">
            <v:imagedata r:id="rId11" r:href="rId12"/>
          </v:shape>
        </w:pict>
      </w:r>
    </w:p>
    <w:p w:rsidR="00E0064A" w:rsidRDefault="00E0064A" w:rsidP="00E0064A">
      <w:pPr>
        <w:pStyle w:val="TOC"/>
        <w:spacing w:before="0"/>
        <w:jc w:val="center"/>
        <w:rPr>
          <w:lang w:val="zh-CN"/>
        </w:rPr>
      </w:pPr>
    </w:p>
    <w:p w:rsidR="005B1D0C" w:rsidRDefault="005B1D0C" w:rsidP="00E0064A">
      <w:pPr>
        <w:pStyle w:val="TOC"/>
        <w:spacing w:before="0"/>
        <w:jc w:val="center"/>
      </w:pPr>
      <w:r>
        <w:rPr>
          <w:lang w:val="zh-CN"/>
        </w:rPr>
        <w:t>目</w:t>
      </w:r>
      <w:r>
        <w:rPr>
          <w:rFonts w:hint="eastAsia"/>
          <w:lang w:val="zh-CN"/>
        </w:rPr>
        <w:t xml:space="preserve">    </w:t>
      </w:r>
      <w:r>
        <w:rPr>
          <w:lang w:val="zh-CN"/>
        </w:rPr>
        <w:t>录</w:t>
      </w:r>
    </w:p>
    <w:p w:rsidR="00346118" w:rsidRDefault="00F60A33">
      <w:pPr>
        <w:pStyle w:val="12"/>
        <w:tabs>
          <w:tab w:val="right" w:leader="dot" w:pos="8296"/>
        </w:tabs>
        <w:rPr>
          <w:rFonts w:asciiTheme="minorHAnsi" w:eastAsiaTheme="minorEastAsia" w:hAnsiTheme="minorHAnsi" w:cstheme="minorBidi"/>
          <w:noProof/>
          <w:kern w:val="2"/>
          <w:sz w:val="21"/>
        </w:rPr>
      </w:pPr>
      <w:r w:rsidRPr="00F60A33">
        <w:fldChar w:fldCharType="begin"/>
      </w:r>
      <w:r w:rsidR="005B1D0C">
        <w:instrText xml:space="preserve"> TOC \o "1-3" \h \z \u </w:instrText>
      </w:r>
      <w:r w:rsidRPr="00F60A33">
        <w:fldChar w:fldCharType="separate"/>
      </w:r>
      <w:hyperlink w:anchor="_Toc38037971" w:history="1">
        <w:r w:rsidR="00346118" w:rsidRPr="00D62F44">
          <w:rPr>
            <w:rStyle w:val="ac"/>
            <w:rFonts w:ascii="仿宋" w:eastAsia="仿宋" w:hAnsi="仿宋" w:hint="eastAsia"/>
            <w:noProof/>
          </w:rPr>
          <w:t>一、公司愿景与社会责任定位</w:t>
        </w:r>
        <w:r w:rsidR="00346118">
          <w:rPr>
            <w:noProof/>
            <w:webHidden/>
          </w:rPr>
          <w:tab/>
        </w:r>
        <w:r>
          <w:rPr>
            <w:noProof/>
            <w:webHidden/>
          </w:rPr>
          <w:fldChar w:fldCharType="begin"/>
        </w:r>
        <w:r w:rsidR="00346118">
          <w:rPr>
            <w:noProof/>
            <w:webHidden/>
          </w:rPr>
          <w:instrText xml:space="preserve"> PAGEREF _Toc38037971 \h </w:instrText>
        </w:r>
        <w:r>
          <w:rPr>
            <w:noProof/>
            <w:webHidden/>
          </w:rPr>
        </w:r>
        <w:r>
          <w:rPr>
            <w:noProof/>
            <w:webHidden/>
          </w:rPr>
          <w:fldChar w:fldCharType="separate"/>
        </w:r>
        <w:r w:rsidR="002D2915">
          <w:rPr>
            <w:noProof/>
            <w:webHidden/>
          </w:rPr>
          <w:t>3</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72" w:history="1">
        <w:r w:rsidR="00346118" w:rsidRPr="00D62F44">
          <w:rPr>
            <w:rStyle w:val="ac"/>
            <w:rFonts w:ascii="仿宋" w:eastAsia="仿宋" w:hAnsi="仿宋"/>
            <w:noProof/>
          </w:rPr>
          <w:t>1</w:t>
        </w:r>
        <w:r w:rsidR="00346118" w:rsidRPr="00D62F44">
          <w:rPr>
            <w:rStyle w:val="ac"/>
            <w:rFonts w:ascii="仿宋" w:eastAsia="仿宋" w:hAnsi="仿宋" w:hint="eastAsia"/>
            <w:noProof/>
          </w:rPr>
          <w:t>、公司愿景和发展战略</w:t>
        </w:r>
        <w:r w:rsidR="00346118">
          <w:rPr>
            <w:noProof/>
            <w:webHidden/>
          </w:rPr>
          <w:tab/>
        </w:r>
        <w:r>
          <w:rPr>
            <w:noProof/>
            <w:webHidden/>
          </w:rPr>
          <w:fldChar w:fldCharType="begin"/>
        </w:r>
        <w:r w:rsidR="00346118">
          <w:rPr>
            <w:noProof/>
            <w:webHidden/>
          </w:rPr>
          <w:instrText xml:space="preserve"> PAGEREF _Toc38037972 \h </w:instrText>
        </w:r>
        <w:r>
          <w:rPr>
            <w:noProof/>
            <w:webHidden/>
          </w:rPr>
        </w:r>
        <w:r>
          <w:rPr>
            <w:noProof/>
            <w:webHidden/>
          </w:rPr>
          <w:fldChar w:fldCharType="separate"/>
        </w:r>
        <w:r w:rsidR="002D2915">
          <w:rPr>
            <w:noProof/>
            <w:webHidden/>
          </w:rPr>
          <w:t>3</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73" w:history="1">
        <w:r w:rsidR="00346118" w:rsidRPr="00D62F44">
          <w:rPr>
            <w:rStyle w:val="ac"/>
            <w:rFonts w:ascii="仿宋" w:eastAsia="仿宋" w:hAnsi="仿宋"/>
            <w:noProof/>
          </w:rPr>
          <w:t>2</w:t>
        </w:r>
        <w:r w:rsidR="00346118" w:rsidRPr="00D62F44">
          <w:rPr>
            <w:rStyle w:val="ac"/>
            <w:rFonts w:ascii="仿宋" w:eastAsia="仿宋" w:hAnsi="仿宋" w:hint="eastAsia"/>
            <w:noProof/>
          </w:rPr>
          <w:t>、公司使命和价值观</w:t>
        </w:r>
        <w:r w:rsidR="00346118">
          <w:rPr>
            <w:noProof/>
            <w:webHidden/>
          </w:rPr>
          <w:tab/>
        </w:r>
        <w:r>
          <w:rPr>
            <w:noProof/>
            <w:webHidden/>
          </w:rPr>
          <w:fldChar w:fldCharType="begin"/>
        </w:r>
        <w:r w:rsidR="00346118">
          <w:rPr>
            <w:noProof/>
            <w:webHidden/>
          </w:rPr>
          <w:instrText xml:space="preserve"> PAGEREF _Toc38037973 \h </w:instrText>
        </w:r>
        <w:r>
          <w:rPr>
            <w:noProof/>
            <w:webHidden/>
          </w:rPr>
        </w:r>
        <w:r>
          <w:rPr>
            <w:noProof/>
            <w:webHidden/>
          </w:rPr>
          <w:fldChar w:fldCharType="separate"/>
        </w:r>
        <w:r w:rsidR="002D2915">
          <w:rPr>
            <w:noProof/>
            <w:webHidden/>
          </w:rPr>
          <w:t>3</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74" w:history="1">
        <w:r w:rsidR="00346118" w:rsidRPr="00D62F44">
          <w:rPr>
            <w:rStyle w:val="ac"/>
            <w:rFonts w:ascii="仿宋" w:eastAsia="仿宋" w:hAnsi="仿宋"/>
            <w:noProof/>
          </w:rPr>
          <w:t>3</w:t>
        </w:r>
        <w:r w:rsidR="00346118" w:rsidRPr="00D62F44">
          <w:rPr>
            <w:rStyle w:val="ac"/>
            <w:rFonts w:ascii="仿宋" w:eastAsia="仿宋" w:hAnsi="仿宋" w:hint="eastAsia"/>
            <w:noProof/>
          </w:rPr>
          <w:t>、公司社会责任的认识与定位</w:t>
        </w:r>
        <w:r w:rsidR="00346118">
          <w:rPr>
            <w:noProof/>
            <w:webHidden/>
          </w:rPr>
          <w:tab/>
        </w:r>
        <w:r>
          <w:rPr>
            <w:noProof/>
            <w:webHidden/>
          </w:rPr>
          <w:fldChar w:fldCharType="begin"/>
        </w:r>
        <w:r w:rsidR="00346118">
          <w:rPr>
            <w:noProof/>
            <w:webHidden/>
          </w:rPr>
          <w:instrText xml:space="preserve"> PAGEREF _Toc38037974 \h </w:instrText>
        </w:r>
        <w:r>
          <w:rPr>
            <w:noProof/>
            <w:webHidden/>
          </w:rPr>
        </w:r>
        <w:r>
          <w:rPr>
            <w:noProof/>
            <w:webHidden/>
          </w:rPr>
          <w:fldChar w:fldCharType="separate"/>
        </w:r>
        <w:r w:rsidR="002D2915">
          <w:rPr>
            <w:noProof/>
            <w:webHidden/>
          </w:rPr>
          <w:t>3</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75" w:history="1">
        <w:r w:rsidR="00346118" w:rsidRPr="00D62F44">
          <w:rPr>
            <w:rStyle w:val="ac"/>
            <w:rFonts w:ascii="仿宋" w:eastAsia="仿宋" w:hAnsi="仿宋"/>
            <w:noProof/>
          </w:rPr>
          <w:t>4</w:t>
        </w:r>
        <w:r w:rsidR="00346118" w:rsidRPr="00D62F44">
          <w:rPr>
            <w:rStyle w:val="ac"/>
            <w:rFonts w:ascii="仿宋" w:eastAsia="仿宋" w:hAnsi="仿宋" w:hint="eastAsia"/>
            <w:noProof/>
          </w:rPr>
          <w:t>、总裁寄语</w:t>
        </w:r>
        <w:r w:rsidR="00346118">
          <w:rPr>
            <w:noProof/>
            <w:webHidden/>
          </w:rPr>
          <w:tab/>
        </w:r>
        <w:r>
          <w:rPr>
            <w:noProof/>
            <w:webHidden/>
          </w:rPr>
          <w:fldChar w:fldCharType="begin"/>
        </w:r>
        <w:r w:rsidR="00346118">
          <w:rPr>
            <w:noProof/>
            <w:webHidden/>
          </w:rPr>
          <w:instrText xml:space="preserve"> PAGEREF _Toc38037975 \h </w:instrText>
        </w:r>
        <w:r>
          <w:rPr>
            <w:noProof/>
            <w:webHidden/>
          </w:rPr>
        </w:r>
        <w:r>
          <w:rPr>
            <w:noProof/>
            <w:webHidden/>
          </w:rPr>
          <w:fldChar w:fldCharType="separate"/>
        </w:r>
        <w:r w:rsidR="002D2915">
          <w:rPr>
            <w:noProof/>
            <w:webHidden/>
          </w:rPr>
          <w:t>4</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76" w:history="1">
        <w:r w:rsidR="00346118" w:rsidRPr="00D62F44">
          <w:rPr>
            <w:rStyle w:val="ac"/>
            <w:rFonts w:ascii="仿宋" w:eastAsia="仿宋" w:hAnsi="仿宋" w:hint="eastAsia"/>
            <w:noProof/>
          </w:rPr>
          <w:t>二、公司概况</w:t>
        </w:r>
        <w:r w:rsidR="00346118">
          <w:rPr>
            <w:noProof/>
            <w:webHidden/>
          </w:rPr>
          <w:tab/>
        </w:r>
        <w:r>
          <w:rPr>
            <w:noProof/>
            <w:webHidden/>
          </w:rPr>
          <w:fldChar w:fldCharType="begin"/>
        </w:r>
        <w:r w:rsidR="00346118">
          <w:rPr>
            <w:noProof/>
            <w:webHidden/>
          </w:rPr>
          <w:instrText xml:space="preserve"> PAGEREF _Toc38037976 \h </w:instrText>
        </w:r>
        <w:r>
          <w:rPr>
            <w:noProof/>
            <w:webHidden/>
          </w:rPr>
        </w:r>
        <w:r>
          <w:rPr>
            <w:noProof/>
            <w:webHidden/>
          </w:rPr>
          <w:fldChar w:fldCharType="separate"/>
        </w:r>
        <w:r w:rsidR="002D2915">
          <w:rPr>
            <w:noProof/>
            <w:webHidden/>
          </w:rPr>
          <w:t>4</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77" w:history="1">
        <w:r w:rsidR="00346118" w:rsidRPr="00D62F44">
          <w:rPr>
            <w:rStyle w:val="ac"/>
            <w:rFonts w:ascii="仿宋" w:eastAsia="仿宋" w:hAnsi="仿宋"/>
            <w:noProof/>
          </w:rPr>
          <w:t>1</w:t>
        </w:r>
        <w:r w:rsidR="00346118" w:rsidRPr="00D62F44">
          <w:rPr>
            <w:rStyle w:val="ac"/>
            <w:rFonts w:ascii="仿宋" w:eastAsia="仿宋" w:hAnsi="仿宋" w:hint="eastAsia"/>
            <w:noProof/>
          </w:rPr>
          <w:t>、公司概况</w:t>
        </w:r>
        <w:r w:rsidR="00346118">
          <w:rPr>
            <w:noProof/>
            <w:webHidden/>
          </w:rPr>
          <w:tab/>
        </w:r>
        <w:r>
          <w:rPr>
            <w:noProof/>
            <w:webHidden/>
          </w:rPr>
          <w:fldChar w:fldCharType="begin"/>
        </w:r>
        <w:r w:rsidR="00346118">
          <w:rPr>
            <w:noProof/>
            <w:webHidden/>
          </w:rPr>
          <w:instrText xml:space="preserve"> PAGEREF _Toc38037977 \h </w:instrText>
        </w:r>
        <w:r>
          <w:rPr>
            <w:noProof/>
            <w:webHidden/>
          </w:rPr>
        </w:r>
        <w:r>
          <w:rPr>
            <w:noProof/>
            <w:webHidden/>
          </w:rPr>
          <w:fldChar w:fldCharType="separate"/>
        </w:r>
        <w:r w:rsidR="002D2915">
          <w:rPr>
            <w:noProof/>
            <w:webHidden/>
          </w:rPr>
          <w:t>5</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78" w:history="1">
        <w:r w:rsidR="00346118" w:rsidRPr="00D62F44">
          <w:rPr>
            <w:rStyle w:val="ac"/>
            <w:rFonts w:ascii="仿宋" w:eastAsia="仿宋" w:hAnsi="仿宋"/>
            <w:noProof/>
          </w:rPr>
          <w:t>2</w:t>
        </w:r>
        <w:r w:rsidR="00346118" w:rsidRPr="00D62F44">
          <w:rPr>
            <w:rStyle w:val="ac"/>
            <w:rFonts w:ascii="仿宋" w:eastAsia="仿宋" w:hAnsi="仿宋" w:hint="eastAsia"/>
            <w:noProof/>
          </w:rPr>
          <w:t>、公司大事记</w:t>
        </w:r>
        <w:r w:rsidR="00346118">
          <w:rPr>
            <w:noProof/>
            <w:webHidden/>
          </w:rPr>
          <w:tab/>
        </w:r>
        <w:r>
          <w:rPr>
            <w:noProof/>
            <w:webHidden/>
          </w:rPr>
          <w:fldChar w:fldCharType="begin"/>
        </w:r>
        <w:r w:rsidR="00346118">
          <w:rPr>
            <w:noProof/>
            <w:webHidden/>
          </w:rPr>
          <w:instrText xml:space="preserve"> PAGEREF _Toc38037978 \h </w:instrText>
        </w:r>
        <w:r>
          <w:rPr>
            <w:noProof/>
            <w:webHidden/>
          </w:rPr>
        </w:r>
        <w:r>
          <w:rPr>
            <w:noProof/>
            <w:webHidden/>
          </w:rPr>
          <w:fldChar w:fldCharType="separate"/>
        </w:r>
        <w:r w:rsidR="002D2915">
          <w:rPr>
            <w:noProof/>
            <w:webHidden/>
          </w:rPr>
          <w:t>5</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79" w:history="1">
        <w:r w:rsidR="00346118" w:rsidRPr="00D62F44">
          <w:rPr>
            <w:rStyle w:val="ac"/>
            <w:rFonts w:ascii="仿宋" w:eastAsia="仿宋" w:hAnsi="仿宋"/>
            <w:noProof/>
          </w:rPr>
          <w:t>3</w:t>
        </w:r>
        <w:r w:rsidR="00346118" w:rsidRPr="00D62F44">
          <w:rPr>
            <w:rStyle w:val="ac"/>
            <w:rFonts w:ascii="仿宋" w:eastAsia="仿宋" w:hAnsi="仿宋" w:hint="eastAsia"/>
            <w:noProof/>
          </w:rPr>
          <w:t>、公司利益相关者关系</w:t>
        </w:r>
        <w:r w:rsidR="00346118">
          <w:rPr>
            <w:noProof/>
            <w:webHidden/>
          </w:rPr>
          <w:tab/>
        </w:r>
        <w:r>
          <w:rPr>
            <w:noProof/>
            <w:webHidden/>
          </w:rPr>
          <w:fldChar w:fldCharType="begin"/>
        </w:r>
        <w:r w:rsidR="00346118">
          <w:rPr>
            <w:noProof/>
            <w:webHidden/>
          </w:rPr>
          <w:instrText xml:space="preserve"> PAGEREF _Toc38037979 \h </w:instrText>
        </w:r>
        <w:r>
          <w:rPr>
            <w:noProof/>
            <w:webHidden/>
          </w:rPr>
        </w:r>
        <w:r>
          <w:rPr>
            <w:noProof/>
            <w:webHidden/>
          </w:rPr>
          <w:fldChar w:fldCharType="separate"/>
        </w:r>
        <w:r w:rsidR="002D2915">
          <w:rPr>
            <w:noProof/>
            <w:webHidden/>
          </w:rPr>
          <w:t>6</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0" w:history="1">
        <w:r w:rsidR="00346118" w:rsidRPr="00D62F44">
          <w:rPr>
            <w:rStyle w:val="ac"/>
            <w:rFonts w:ascii="仿宋" w:eastAsia="仿宋" w:hAnsi="仿宋"/>
            <w:noProof/>
          </w:rPr>
          <w:t>4</w:t>
        </w:r>
        <w:r w:rsidR="00346118" w:rsidRPr="00D62F44">
          <w:rPr>
            <w:rStyle w:val="ac"/>
            <w:rFonts w:ascii="仿宋" w:eastAsia="仿宋" w:hAnsi="仿宋" w:hint="eastAsia"/>
            <w:noProof/>
          </w:rPr>
          <w:t>、本报告内容的范围和概况</w:t>
        </w:r>
        <w:r w:rsidR="00346118">
          <w:rPr>
            <w:noProof/>
            <w:webHidden/>
          </w:rPr>
          <w:tab/>
        </w:r>
        <w:r>
          <w:rPr>
            <w:noProof/>
            <w:webHidden/>
          </w:rPr>
          <w:fldChar w:fldCharType="begin"/>
        </w:r>
        <w:r w:rsidR="00346118">
          <w:rPr>
            <w:noProof/>
            <w:webHidden/>
          </w:rPr>
          <w:instrText xml:space="preserve"> PAGEREF _Toc38037980 \h </w:instrText>
        </w:r>
        <w:r>
          <w:rPr>
            <w:noProof/>
            <w:webHidden/>
          </w:rPr>
        </w:r>
        <w:r>
          <w:rPr>
            <w:noProof/>
            <w:webHidden/>
          </w:rPr>
          <w:fldChar w:fldCharType="separate"/>
        </w:r>
        <w:r w:rsidR="002D2915">
          <w:rPr>
            <w:noProof/>
            <w:webHidden/>
          </w:rPr>
          <w:t>6</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1" w:history="1">
        <w:r w:rsidR="00346118" w:rsidRPr="00D62F44">
          <w:rPr>
            <w:rStyle w:val="ac"/>
            <w:rFonts w:ascii="仿宋" w:eastAsia="仿宋" w:hAnsi="仿宋" w:hint="eastAsia"/>
            <w:noProof/>
          </w:rPr>
          <w:t>三、公司治理结构与管理体制</w:t>
        </w:r>
        <w:r w:rsidR="00346118">
          <w:rPr>
            <w:noProof/>
            <w:webHidden/>
          </w:rPr>
          <w:tab/>
        </w:r>
        <w:r>
          <w:rPr>
            <w:noProof/>
            <w:webHidden/>
          </w:rPr>
          <w:fldChar w:fldCharType="begin"/>
        </w:r>
        <w:r w:rsidR="00346118">
          <w:rPr>
            <w:noProof/>
            <w:webHidden/>
          </w:rPr>
          <w:instrText xml:space="preserve"> PAGEREF _Toc38037981 \h </w:instrText>
        </w:r>
        <w:r>
          <w:rPr>
            <w:noProof/>
            <w:webHidden/>
          </w:rPr>
        </w:r>
        <w:r>
          <w:rPr>
            <w:noProof/>
            <w:webHidden/>
          </w:rPr>
          <w:fldChar w:fldCharType="separate"/>
        </w:r>
        <w:r w:rsidR="002D2915">
          <w:rPr>
            <w:noProof/>
            <w:webHidden/>
          </w:rPr>
          <w:t>7</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2" w:history="1">
        <w:r w:rsidR="00346118" w:rsidRPr="00D62F44">
          <w:rPr>
            <w:rStyle w:val="ac"/>
            <w:rFonts w:ascii="仿宋" w:eastAsia="仿宋" w:hAnsi="仿宋"/>
            <w:noProof/>
          </w:rPr>
          <w:t>1</w:t>
        </w:r>
        <w:r w:rsidR="00346118" w:rsidRPr="00D62F44">
          <w:rPr>
            <w:rStyle w:val="ac"/>
            <w:rFonts w:ascii="仿宋" w:eastAsia="仿宋" w:hAnsi="仿宋" w:hint="eastAsia"/>
            <w:noProof/>
          </w:rPr>
          <w:t>、股东责权</w:t>
        </w:r>
        <w:r w:rsidR="00346118">
          <w:rPr>
            <w:noProof/>
            <w:webHidden/>
          </w:rPr>
          <w:tab/>
        </w:r>
        <w:r>
          <w:rPr>
            <w:noProof/>
            <w:webHidden/>
          </w:rPr>
          <w:fldChar w:fldCharType="begin"/>
        </w:r>
        <w:r w:rsidR="00346118">
          <w:rPr>
            <w:noProof/>
            <w:webHidden/>
          </w:rPr>
          <w:instrText xml:space="preserve"> PAGEREF _Toc38037982 \h </w:instrText>
        </w:r>
        <w:r>
          <w:rPr>
            <w:noProof/>
            <w:webHidden/>
          </w:rPr>
        </w:r>
        <w:r>
          <w:rPr>
            <w:noProof/>
            <w:webHidden/>
          </w:rPr>
          <w:fldChar w:fldCharType="separate"/>
        </w:r>
        <w:r w:rsidR="002D2915">
          <w:rPr>
            <w:noProof/>
            <w:webHidden/>
          </w:rPr>
          <w:t>7</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3" w:history="1">
        <w:r w:rsidR="00346118" w:rsidRPr="00D62F44">
          <w:rPr>
            <w:rStyle w:val="ac"/>
            <w:rFonts w:ascii="仿宋" w:eastAsia="仿宋" w:hAnsi="仿宋"/>
            <w:noProof/>
          </w:rPr>
          <w:t>2</w:t>
        </w:r>
        <w:r w:rsidR="00346118" w:rsidRPr="00D62F44">
          <w:rPr>
            <w:rStyle w:val="ac"/>
            <w:rFonts w:ascii="仿宋" w:eastAsia="仿宋" w:hAnsi="仿宋" w:hint="eastAsia"/>
            <w:noProof/>
          </w:rPr>
          <w:t>、董事会、监事会、高级管理人员</w:t>
        </w:r>
        <w:r w:rsidR="00346118">
          <w:rPr>
            <w:noProof/>
            <w:webHidden/>
          </w:rPr>
          <w:tab/>
        </w:r>
        <w:r>
          <w:rPr>
            <w:noProof/>
            <w:webHidden/>
          </w:rPr>
          <w:fldChar w:fldCharType="begin"/>
        </w:r>
        <w:r w:rsidR="00346118">
          <w:rPr>
            <w:noProof/>
            <w:webHidden/>
          </w:rPr>
          <w:instrText xml:space="preserve"> PAGEREF _Toc38037983 \h </w:instrText>
        </w:r>
        <w:r>
          <w:rPr>
            <w:noProof/>
            <w:webHidden/>
          </w:rPr>
        </w:r>
        <w:r>
          <w:rPr>
            <w:noProof/>
            <w:webHidden/>
          </w:rPr>
          <w:fldChar w:fldCharType="separate"/>
        </w:r>
        <w:r w:rsidR="002D2915">
          <w:rPr>
            <w:noProof/>
            <w:webHidden/>
          </w:rPr>
          <w:t>7</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4" w:history="1">
        <w:r w:rsidR="00346118" w:rsidRPr="00D62F44">
          <w:rPr>
            <w:rStyle w:val="ac"/>
            <w:rFonts w:ascii="仿宋" w:eastAsia="仿宋" w:hAnsi="仿宋"/>
            <w:noProof/>
          </w:rPr>
          <w:t>3</w:t>
        </w:r>
        <w:r w:rsidR="00346118" w:rsidRPr="00D62F44">
          <w:rPr>
            <w:rStyle w:val="ac"/>
            <w:rFonts w:ascii="仿宋" w:eastAsia="仿宋" w:hAnsi="仿宋" w:hint="eastAsia"/>
            <w:noProof/>
          </w:rPr>
          <w:t>、公司组织结构</w:t>
        </w:r>
        <w:r w:rsidR="00346118">
          <w:rPr>
            <w:noProof/>
            <w:webHidden/>
          </w:rPr>
          <w:tab/>
        </w:r>
        <w:r>
          <w:rPr>
            <w:noProof/>
            <w:webHidden/>
          </w:rPr>
          <w:fldChar w:fldCharType="begin"/>
        </w:r>
        <w:r w:rsidR="00346118">
          <w:rPr>
            <w:noProof/>
            <w:webHidden/>
          </w:rPr>
          <w:instrText xml:space="preserve"> PAGEREF _Toc38037984 \h </w:instrText>
        </w:r>
        <w:r>
          <w:rPr>
            <w:noProof/>
            <w:webHidden/>
          </w:rPr>
        </w:r>
        <w:r>
          <w:rPr>
            <w:noProof/>
            <w:webHidden/>
          </w:rPr>
          <w:fldChar w:fldCharType="separate"/>
        </w:r>
        <w:r w:rsidR="002D2915">
          <w:rPr>
            <w:noProof/>
            <w:webHidden/>
          </w:rPr>
          <w:t>8</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5" w:history="1">
        <w:r w:rsidR="00346118" w:rsidRPr="00D62F44">
          <w:rPr>
            <w:rStyle w:val="ac"/>
            <w:rFonts w:ascii="仿宋" w:eastAsia="仿宋" w:hAnsi="仿宋"/>
            <w:noProof/>
          </w:rPr>
          <w:t>4</w:t>
        </w:r>
        <w:r w:rsidR="00346118" w:rsidRPr="00D62F44">
          <w:rPr>
            <w:rStyle w:val="ac"/>
            <w:rFonts w:ascii="仿宋" w:eastAsia="仿宋" w:hAnsi="仿宋" w:hint="eastAsia"/>
            <w:noProof/>
          </w:rPr>
          <w:t>、履职情况</w:t>
        </w:r>
        <w:r w:rsidR="00346118">
          <w:rPr>
            <w:noProof/>
            <w:webHidden/>
          </w:rPr>
          <w:tab/>
        </w:r>
        <w:r>
          <w:rPr>
            <w:noProof/>
            <w:webHidden/>
          </w:rPr>
          <w:fldChar w:fldCharType="begin"/>
        </w:r>
        <w:r w:rsidR="00346118">
          <w:rPr>
            <w:noProof/>
            <w:webHidden/>
          </w:rPr>
          <w:instrText xml:space="preserve"> PAGEREF _Toc38037985 \h </w:instrText>
        </w:r>
        <w:r>
          <w:rPr>
            <w:noProof/>
            <w:webHidden/>
          </w:rPr>
        </w:r>
        <w:r>
          <w:rPr>
            <w:noProof/>
            <w:webHidden/>
          </w:rPr>
          <w:fldChar w:fldCharType="separate"/>
        </w:r>
        <w:r w:rsidR="002D2915">
          <w:rPr>
            <w:noProof/>
            <w:webHidden/>
          </w:rPr>
          <w:t>9</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6" w:history="1">
        <w:r w:rsidR="00346118" w:rsidRPr="00D62F44">
          <w:rPr>
            <w:rStyle w:val="ac"/>
            <w:rFonts w:ascii="仿宋" w:eastAsia="仿宋" w:hAnsi="仿宋"/>
            <w:noProof/>
          </w:rPr>
          <w:t>5</w:t>
        </w:r>
        <w:r w:rsidR="00346118" w:rsidRPr="00D62F44">
          <w:rPr>
            <w:rStyle w:val="ac"/>
            <w:rFonts w:ascii="仿宋" w:eastAsia="仿宋" w:hAnsi="仿宋" w:hint="eastAsia"/>
            <w:noProof/>
          </w:rPr>
          <w:t>、取得经济、环境和社会管理体系有关的具有公信力的认证状况</w:t>
        </w:r>
        <w:r w:rsidR="00346118">
          <w:rPr>
            <w:noProof/>
            <w:webHidden/>
          </w:rPr>
          <w:tab/>
        </w:r>
        <w:r>
          <w:rPr>
            <w:noProof/>
            <w:webHidden/>
          </w:rPr>
          <w:fldChar w:fldCharType="begin"/>
        </w:r>
        <w:r w:rsidR="00346118">
          <w:rPr>
            <w:noProof/>
            <w:webHidden/>
          </w:rPr>
          <w:instrText xml:space="preserve"> PAGEREF _Toc38037986 \h </w:instrText>
        </w:r>
        <w:r>
          <w:rPr>
            <w:noProof/>
            <w:webHidden/>
          </w:rPr>
        </w:r>
        <w:r>
          <w:rPr>
            <w:noProof/>
            <w:webHidden/>
          </w:rPr>
          <w:fldChar w:fldCharType="separate"/>
        </w:r>
        <w:r w:rsidR="002D2915">
          <w:rPr>
            <w:noProof/>
            <w:webHidden/>
          </w:rPr>
          <w:t>9</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7" w:history="1">
        <w:r w:rsidR="00346118" w:rsidRPr="00D62F44">
          <w:rPr>
            <w:rStyle w:val="ac"/>
            <w:rFonts w:ascii="仿宋" w:eastAsia="仿宋" w:hAnsi="仿宋" w:hint="eastAsia"/>
            <w:noProof/>
          </w:rPr>
          <w:t>四、经济责任与业绩</w:t>
        </w:r>
        <w:r w:rsidR="00346118">
          <w:rPr>
            <w:noProof/>
            <w:webHidden/>
          </w:rPr>
          <w:tab/>
        </w:r>
        <w:r>
          <w:rPr>
            <w:noProof/>
            <w:webHidden/>
          </w:rPr>
          <w:fldChar w:fldCharType="begin"/>
        </w:r>
        <w:r w:rsidR="00346118">
          <w:rPr>
            <w:noProof/>
            <w:webHidden/>
          </w:rPr>
          <w:instrText xml:space="preserve"> PAGEREF _Toc38037987 \h </w:instrText>
        </w:r>
        <w:r>
          <w:rPr>
            <w:noProof/>
            <w:webHidden/>
          </w:rPr>
        </w:r>
        <w:r>
          <w:rPr>
            <w:noProof/>
            <w:webHidden/>
          </w:rPr>
          <w:fldChar w:fldCharType="separate"/>
        </w:r>
        <w:r w:rsidR="002D2915">
          <w:rPr>
            <w:noProof/>
            <w:webHidden/>
          </w:rPr>
          <w:t>10</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8" w:history="1">
        <w:r w:rsidR="00346118" w:rsidRPr="00D62F44">
          <w:rPr>
            <w:rStyle w:val="ac"/>
            <w:rFonts w:ascii="仿宋" w:eastAsia="仿宋" w:hAnsi="仿宋"/>
            <w:noProof/>
          </w:rPr>
          <w:t>1</w:t>
        </w:r>
        <w:r w:rsidR="00346118" w:rsidRPr="00D62F44">
          <w:rPr>
            <w:rStyle w:val="ac"/>
            <w:rFonts w:ascii="仿宋" w:eastAsia="仿宋" w:hAnsi="仿宋" w:hint="eastAsia"/>
            <w:noProof/>
          </w:rPr>
          <w:t>、公司经济发展大事记</w:t>
        </w:r>
        <w:r w:rsidR="00346118">
          <w:rPr>
            <w:noProof/>
            <w:webHidden/>
          </w:rPr>
          <w:tab/>
        </w:r>
        <w:r>
          <w:rPr>
            <w:noProof/>
            <w:webHidden/>
          </w:rPr>
          <w:fldChar w:fldCharType="begin"/>
        </w:r>
        <w:r w:rsidR="00346118">
          <w:rPr>
            <w:noProof/>
            <w:webHidden/>
          </w:rPr>
          <w:instrText xml:space="preserve"> PAGEREF _Toc38037988 \h </w:instrText>
        </w:r>
        <w:r>
          <w:rPr>
            <w:noProof/>
            <w:webHidden/>
          </w:rPr>
        </w:r>
        <w:r>
          <w:rPr>
            <w:noProof/>
            <w:webHidden/>
          </w:rPr>
          <w:fldChar w:fldCharType="separate"/>
        </w:r>
        <w:r w:rsidR="002D2915">
          <w:rPr>
            <w:noProof/>
            <w:webHidden/>
          </w:rPr>
          <w:t>10</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89" w:history="1">
        <w:r w:rsidR="00346118" w:rsidRPr="00D62F44">
          <w:rPr>
            <w:rStyle w:val="ac"/>
            <w:rFonts w:ascii="仿宋" w:eastAsia="仿宋" w:hAnsi="仿宋"/>
            <w:noProof/>
          </w:rPr>
          <w:t>2</w:t>
        </w:r>
        <w:r w:rsidR="00346118" w:rsidRPr="00D62F44">
          <w:rPr>
            <w:rStyle w:val="ac"/>
            <w:rFonts w:ascii="仿宋" w:eastAsia="仿宋" w:hAnsi="仿宋" w:hint="eastAsia"/>
            <w:noProof/>
          </w:rPr>
          <w:t>、公司经营情况</w:t>
        </w:r>
        <w:r w:rsidR="00346118">
          <w:rPr>
            <w:noProof/>
            <w:webHidden/>
          </w:rPr>
          <w:tab/>
        </w:r>
        <w:r>
          <w:rPr>
            <w:noProof/>
            <w:webHidden/>
          </w:rPr>
          <w:fldChar w:fldCharType="begin"/>
        </w:r>
        <w:r w:rsidR="00346118">
          <w:rPr>
            <w:noProof/>
            <w:webHidden/>
          </w:rPr>
          <w:instrText xml:space="preserve"> PAGEREF _Toc38037989 \h </w:instrText>
        </w:r>
        <w:r>
          <w:rPr>
            <w:noProof/>
            <w:webHidden/>
          </w:rPr>
        </w:r>
        <w:r>
          <w:rPr>
            <w:noProof/>
            <w:webHidden/>
          </w:rPr>
          <w:fldChar w:fldCharType="separate"/>
        </w:r>
        <w:r w:rsidR="002D2915">
          <w:rPr>
            <w:noProof/>
            <w:webHidden/>
          </w:rPr>
          <w:t>11</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90" w:history="1">
        <w:r w:rsidR="00346118" w:rsidRPr="00D62F44">
          <w:rPr>
            <w:rStyle w:val="ac"/>
            <w:rFonts w:ascii="仿宋" w:eastAsia="仿宋" w:hAnsi="仿宋"/>
            <w:noProof/>
          </w:rPr>
          <w:t>3</w:t>
        </w:r>
        <w:r w:rsidR="00346118" w:rsidRPr="00D62F44">
          <w:rPr>
            <w:rStyle w:val="ac"/>
            <w:rFonts w:ascii="仿宋" w:eastAsia="仿宋" w:hAnsi="仿宋" w:hint="eastAsia"/>
            <w:noProof/>
          </w:rPr>
          <w:t>、加强研发力度，紧密服务市场</w:t>
        </w:r>
        <w:r w:rsidR="00346118">
          <w:rPr>
            <w:noProof/>
            <w:webHidden/>
          </w:rPr>
          <w:tab/>
        </w:r>
        <w:r>
          <w:rPr>
            <w:noProof/>
            <w:webHidden/>
          </w:rPr>
          <w:fldChar w:fldCharType="begin"/>
        </w:r>
        <w:r w:rsidR="00346118">
          <w:rPr>
            <w:noProof/>
            <w:webHidden/>
          </w:rPr>
          <w:instrText xml:space="preserve"> PAGEREF _Toc38037990 \h </w:instrText>
        </w:r>
        <w:r>
          <w:rPr>
            <w:noProof/>
            <w:webHidden/>
          </w:rPr>
        </w:r>
        <w:r>
          <w:rPr>
            <w:noProof/>
            <w:webHidden/>
          </w:rPr>
          <w:fldChar w:fldCharType="separate"/>
        </w:r>
        <w:r w:rsidR="002D2915">
          <w:rPr>
            <w:noProof/>
            <w:webHidden/>
          </w:rPr>
          <w:t>12</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91" w:history="1">
        <w:r w:rsidR="00346118" w:rsidRPr="00D62F44">
          <w:rPr>
            <w:rStyle w:val="ac"/>
            <w:rFonts w:ascii="仿宋" w:eastAsia="仿宋" w:hAnsi="仿宋"/>
            <w:noProof/>
          </w:rPr>
          <w:t>4</w:t>
        </w:r>
        <w:r w:rsidR="00346118" w:rsidRPr="00D62F44">
          <w:rPr>
            <w:rStyle w:val="ac"/>
            <w:rFonts w:ascii="仿宋" w:eastAsia="仿宋" w:hAnsi="仿宋" w:hint="eastAsia"/>
            <w:noProof/>
          </w:rPr>
          <w:t>、固定资产投资及评估</w:t>
        </w:r>
        <w:r w:rsidR="00346118">
          <w:rPr>
            <w:noProof/>
            <w:webHidden/>
          </w:rPr>
          <w:tab/>
        </w:r>
        <w:r>
          <w:rPr>
            <w:noProof/>
            <w:webHidden/>
          </w:rPr>
          <w:fldChar w:fldCharType="begin"/>
        </w:r>
        <w:r w:rsidR="00346118">
          <w:rPr>
            <w:noProof/>
            <w:webHidden/>
          </w:rPr>
          <w:instrText xml:space="preserve"> PAGEREF _Toc38037991 \h </w:instrText>
        </w:r>
        <w:r>
          <w:rPr>
            <w:noProof/>
            <w:webHidden/>
          </w:rPr>
        </w:r>
        <w:r>
          <w:rPr>
            <w:noProof/>
            <w:webHidden/>
          </w:rPr>
          <w:fldChar w:fldCharType="separate"/>
        </w:r>
        <w:r w:rsidR="002D2915">
          <w:rPr>
            <w:noProof/>
            <w:webHidden/>
          </w:rPr>
          <w:t>12</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92" w:history="1">
        <w:r w:rsidR="00346118" w:rsidRPr="00D62F44">
          <w:rPr>
            <w:rStyle w:val="ac"/>
            <w:rFonts w:ascii="仿宋" w:eastAsia="仿宋" w:hAnsi="仿宋" w:hint="eastAsia"/>
            <w:noProof/>
          </w:rPr>
          <w:t>五、社会责任与业绩</w:t>
        </w:r>
        <w:r w:rsidR="00346118">
          <w:rPr>
            <w:noProof/>
            <w:webHidden/>
          </w:rPr>
          <w:tab/>
        </w:r>
        <w:r>
          <w:rPr>
            <w:noProof/>
            <w:webHidden/>
          </w:rPr>
          <w:fldChar w:fldCharType="begin"/>
        </w:r>
        <w:r w:rsidR="00346118">
          <w:rPr>
            <w:noProof/>
            <w:webHidden/>
          </w:rPr>
          <w:instrText xml:space="preserve"> PAGEREF _Toc38037992 \h </w:instrText>
        </w:r>
        <w:r>
          <w:rPr>
            <w:noProof/>
            <w:webHidden/>
          </w:rPr>
        </w:r>
        <w:r>
          <w:rPr>
            <w:noProof/>
            <w:webHidden/>
          </w:rPr>
          <w:fldChar w:fldCharType="separate"/>
        </w:r>
        <w:r w:rsidR="002D2915">
          <w:rPr>
            <w:noProof/>
            <w:webHidden/>
          </w:rPr>
          <w:t>12</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93" w:history="1">
        <w:r w:rsidR="00346118" w:rsidRPr="00D62F44">
          <w:rPr>
            <w:rStyle w:val="ac"/>
            <w:rFonts w:ascii="仿宋" w:eastAsia="仿宋" w:hAnsi="仿宋"/>
            <w:noProof/>
          </w:rPr>
          <w:t>1</w:t>
        </w:r>
        <w:r w:rsidR="00346118" w:rsidRPr="00D62F44">
          <w:rPr>
            <w:rStyle w:val="ac"/>
            <w:rFonts w:ascii="仿宋" w:eastAsia="仿宋" w:hAnsi="仿宋" w:hint="eastAsia"/>
            <w:noProof/>
          </w:rPr>
          <w:t>、公司社会责任大事记</w:t>
        </w:r>
        <w:r w:rsidR="00346118">
          <w:rPr>
            <w:noProof/>
            <w:webHidden/>
          </w:rPr>
          <w:tab/>
        </w:r>
        <w:r>
          <w:rPr>
            <w:noProof/>
            <w:webHidden/>
          </w:rPr>
          <w:fldChar w:fldCharType="begin"/>
        </w:r>
        <w:r w:rsidR="00346118">
          <w:rPr>
            <w:noProof/>
            <w:webHidden/>
          </w:rPr>
          <w:instrText xml:space="preserve"> PAGEREF _Toc38037993 \h </w:instrText>
        </w:r>
        <w:r>
          <w:rPr>
            <w:noProof/>
            <w:webHidden/>
          </w:rPr>
        </w:r>
        <w:r>
          <w:rPr>
            <w:noProof/>
            <w:webHidden/>
          </w:rPr>
          <w:fldChar w:fldCharType="separate"/>
        </w:r>
        <w:r w:rsidR="002D2915">
          <w:rPr>
            <w:noProof/>
            <w:webHidden/>
          </w:rPr>
          <w:t>12</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94" w:history="1">
        <w:r w:rsidR="00346118" w:rsidRPr="00D62F44">
          <w:rPr>
            <w:rStyle w:val="ac"/>
            <w:rFonts w:ascii="仿宋" w:eastAsia="仿宋" w:hAnsi="仿宋"/>
            <w:noProof/>
          </w:rPr>
          <w:t>2</w:t>
        </w:r>
        <w:r w:rsidR="00346118" w:rsidRPr="00D62F44">
          <w:rPr>
            <w:rStyle w:val="ac"/>
            <w:rFonts w:ascii="仿宋" w:eastAsia="仿宋" w:hAnsi="仿宋" w:hint="eastAsia"/>
            <w:noProof/>
          </w:rPr>
          <w:t>、员工管理与合理的工作</w:t>
        </w:r>
        <w:r w:rsidR="00346118">
          <w:rPr>
            <w:noProof/>
            <w:webHidden/>
          </w:rPr>
          <w:tab/>
        </w:r>
        <w:r>
          <w:rPr>
            <w:noProof/>
            <w:webHidden/>
          </w:rPr>
          <w:fldChar w:fldCharType="begin"/>
        </w:r>
        <w:r w:rsidR="00346118">
          <w:rPr>
            <w:noProof/>
            <w:webHidden/>
          </w:rPr>
          <w:instrText xml:space="preserve"> PAGEREF _Toc38037994 \h </w:instrText>
        </w:r>
        <w:r>
          <w:rPr>
            <w:noProof/>
            <w:webHidden/>
          </w:rPr>
        </w:r>
        <w:r>
          <w:rPr>
            <w:noProof/>
            <w:webHidden/>
          </w:rPr>
          <w:fldChar w:fldCharType="separate"/>
        </w:r>
        <w:r w:rsidR="002D2915">
          <w:rPr>
            <w:noProof/>
            <w:webHidden/>
          </w:rPr>
          <w:t>13</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95" w:history="1">
        <w:r w:rsidR="00346118" w:rsidRPr="00D62F44">
          <w:rPr>
            <w:rStyle w:val="ac"/>
            <w:rFonts w:ascii="仿宋" w:eastAsia="仿宋" w:hAnsi="仿宋"/>
            <w:noProof/>
          </w:rPr>
          <w:t>3</w:t>
        </w:r>
        <w:r w:rsidR="00346118" w:rsidRPr="00D62F44">
          <w:rPr>
            <w:rStyle w:val="ac"/>
            <w:rFonts w:ascii="仿宋" w:eastAsia="仿宋" w:hAnsi="仿宋" w:hint="eastAsia"/>
            <w:noProof/>
          </w:rPr>
          <w:t>、员工权利</w:t>
        </w:r>
        <w:r w:rsidR="00346118">
          <w:rPr>
            <w:noProof/>
            <w:webHidden/>
          </w:rPr>
          <w:tab/>
        </w:r>
        <w:r>
          <w:rPr>
            <w:noProof/>
            <w:webHidden/>
          </w:rPr>
          <w:fldChar w:fldCharType="begin"/>
        </w:r>
        <w:r w:rsidR="00346118">
          <w:rPr>
            <w:noProof/>
            <w:webHidden/>
          </w:rPr>
          <w:instrText xml:space="preserve"> PAGEREF _Toc38037995 \h </w:instrText>
        </w:r>
        <w:r>
          <w:rPr>
            <w:noProof/>
            <w:webHidden/>
          </w:rPr>
        </w:r>
        <w:r>
          <w:rPr>
            <w:noProof/>
            <w:webHidden/>
          </w:rPr>
          <w:fldChar w:fldCharType="separate"/>
        </w:r>
        <w:r w:rsidR="002D2915">
          <w:rPr>
            <w:noProof/>
            <w:webHidden/>
          </w:rPr>
          <w:t>15</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96" w:history="1">
        <w:r w:rsidR="00346118" w:rsidRPr="00D62F44">
          <w:rPr>
            <w:rStyle w:val="ac"/>
            <w:rFonts w:ascii="仿宋" w:eastAsia="仿宋" w:hAnsi="仿宋"/>
            <w:noProof/>
          </w:rPr>
          <w:t>4</w:t>
        </w:r>
        <w:r w:rsidR="00346118" w:rsidRPr="00D62F44">
          <w:rPr>
            <w:rStyle w:val="ac"/>
            <w:rFonts w:ascii="仿宋" w:eastAsia="仿宋" w:hAnsi="仿宋" w:hint="eastAsia"/>
            <w:noProof/>
          </w:rPr>
          <w:t>、社会影响</w:t>
        </w:r>
        <w:r w:rsidR="00346118">
          <w:rPr>
            <w:noProof/>
            <w:webHidden/>
          </w:rPr>
          <w:tab/>
        </w:r>
        <w:r>
          <w:rPr>
            <w:noProof/>
            <w:webHidden/>
          </w:rPr>
          <w:fldChar w:fldCharType="begin"/>
        </w:r>
        <w:r w:rsidR="00346118">
          <w:rPr>
            <w:noProof/>
            <w:webHidden/>
          </w:rPr>
          <w:instrText xml:space="preserve"> PAGEREF _Toc38037996 \h </w:instrText>
        </w:r>
        <w:r>
          <w:rPr>
            <w:noProof/>
            <w:webHidden/>
          </w:rPr>
        </w:r>
        <w:r>
          <w:rPr>
            <w:noProof/>
            <w:webHidden/>
          </w:rPr>
          <w:fldChar w:fldCharType="separate"/>
        </w:r>
        <w:r w:rsidR="002D2915">
          <w:rPr>
            <w:noProof/>
            <w:webHidden/>
          </w:rPr>
          <w:t>15</w:t>
        </w:r>
        <w:r>
          <w:rPr>
            <w:noProof/>
            <w:webHidden/>
          </w:rPr>
          <w:fldChar w:fldCharType="end"/>
        </w:r>
      </w:hyperlink>
    </w:p>
    <w:p w:rsidR="00346118" w:rsidRDefault="00F60A33">
      <w:pPr>
        <w:pStyle w:val="12"/>
        <w:tabs>
          <w:tab w:val="right" w:leader="dot" w:pos="8296"/>
        </w:tabs>
        <w:rPr>
          <w:rFonts w:asciiTheme="minorHAnsi" w:eastAsiaTheme="minorEastAsia" w:hAnsiTheme="minorHAnsi" w:cstheme="minorBidi"/>
          <w:noProof/>
          <w:kern w:val="2"/>
          <w:sz w:val="21"/>
        </w:rPr>
      </w:pPr>
      <w:hyperlink w:anchor="_Toc38037997" w:history="1">
        <w:r w:rsidR="00346118" w:rsidRPr="00D62F44">
          <w:rPr>
            <w:rStyle w:val="ac"/>
            <w:rFonts w:ascii="仿宋" w:eastAsia="仿宋" w:hAnsi="仿宋" w:hint="eastAsia"/>
            <w:noProof/>
          </w:rPr>
          <w:t>六、环境责任与业绩</w:t>
        </w:r>
        <w:r w:rsidR="00346118">
          <w:rPr>
            <w:noProof/>
            <w:webHidden/>
          </w:rPr>
          <w:tab/>
        </w:r>
        <w:r>
          <w:rPr>
            <w:noProof/>
            <w:webHidden/>
          </w:rPr>
          <w:fldChar w:fldCharType="begin"/>
        </w:r>
        <w:r w:rsidR="00346118">
          <w:rPr>
            <w:noProof/>
            <w:webHidden/>
          </w:rPr>
          <w:instrText xml:space="preserve"> PAGEREF _Toc38037997 \h </w:instrText>
        </w:r>
        <w:r>
          <w:rPr>
            <w:noProof/>
            <w:webHidden/>
          </w:rPr>
        </w:r>
        <w:r>
          <w:rPr>
            <w:noProof/>
            <w:webHidden/>
          </w:rPr>
          <w:fldChar w:fldCharType="separate"/>
        </w:r>
        <w:r w:rsidR="002D2915">
          <w:rPr>
            <w:noProof/>
            <w:webHidden/>
          </w:rPr>
          <w:t>17</w:t>
        </w:r>
        <w:r>
          <w:rPr>
            <w:noProof/>
            <w:webHidden/>
          </w:rPr>
          <w:fldChar w:fldCharType="end"/>
        </w:r>
      </w:hyperlink>
    </w:p>
    <w:p w:rsidR="005B1D0C" w:rsidRDefault="00F60A33">
      <w:r>
        <w:fldChar w:fldCharType="end"/>
      </w:r>
    </w:p>
    <w:p w:rsidR="005F0C65" w:rsidRDefault="00AA26BA">
      <w:pPr>
        <w:jc w:val="center"/>
        <w:rPr>
          <w:rFonts w:ascii="黑体" w:eastAsia="黑体"/>
          <w:sz w:val="32"/>
          <w:szCs w:val="32"/>
        </w:rPr>
      </w:pPr>
      <w:r>
        <w:rPr>
          <w:rFonts w:ascii="黑体" w:eastAsia="黑体" w:hint="eastAsia"/>
          <w:sz w:val="32"/>
          <w:szCs w:val="32"/>
        </w:rPr>
        <w:lastRenderedPageBreak/>
        <w:t>中银国际期货有限责任公司社会责任报告</w:t>
      </w:r>
      <w:bookmarkStart w:id="0" w:name="_GoBack"/>
      <w:bookmarkEnd w:id="0"/>
    </w:p>
    <w:p w:rsidR="005F0C65" w:rsidRDefault="00AA26BA">
      <w:pPr>
        <w:jc w:val="center"/>
        <w:rPr>
          <w:rFonts w:ascii="仿宋" w:eastAsia="仿宋" w:hAnsi="仿宋"/>
          <w:sz w:val="30"/>
          <w:szCs w:val="30"/>
        </w:rPr>
      </w:pPr>
      <w:r>
        <w:rPr>
          <w:rFonts w:ascii="仿宋" w:eastAsia="仿宋" w:hAnsi="仿宋" w:hint="eastAsia"/>
          <w:sz w:val="30"/>
          <w:szCs w:val="30"/>
        </w:rPr>
        <w:t>（2019年）</w:t>
      </w:r>
    </w:p>
    <w:p w:rsidR="005F0C65" w:rsidRPr="00ED033C" w:rsidRDefault="00AA26BA" w:rsidP="00F33EA2">
      <w:pPr>
        <w:pStyle w:val="ab"/>
        <w:spacing w:before="0" w:after="0" w:line="360" w:lineRule="auto"/>
        <w:jc w:val="left"/>
        <w:rPr>
          <w:rFonts w:ascii="仿宋" w:eastAsia="仿宋" w:hAnsi="仿宋"/>
          <w:sz w:val="30"/>
          <w:szCs w:val="30"/>
        </w:rPr>
      </w:pPr>
      <w:bookmarkStart w:id="1" w:name="_Toc38037971"/>
      <w:r w:rsidRPr="00ED033C">
        <w:rPr>
          <w:rFonts w:ascii="仿宋" w:eastAsia="仿宋" w:hAnsi="仿宋" w:hint="eastAsia"/>
          <w:sz w:val="30"/>
          <w:szCs w:val="30"/>
        </w:rPr>
        <w:t>一、公司愿景与社会责任定位</w:t>
      </w:r>
      <w:bookmarkEnd w:id="1"/>
    </w:p>
    <w:p w:rsidR="005F0C65" w:rsidRPr="00ED033C" w:rsidRDefault="00AA26BA" w:rsidP="00F33EA2">
      <w:pPr>
        <w:pStyle w:val="1"/>
        <w:spacing w:before="0" w:after="0" w:line="360" w:lineRule="auto"/>
        <w:rPr>
          <w:rFonts w:ascii="仿宋" w:eastAsia="仿宋" w:hAnsi="仿宋"/>
          <w:b w:val="0"/>
          <w:sz w:val="30"/>
          <w:szCs w:val="30"/>
        </w:rPr>
      </w:pPr>
      <w:bookmarkStart w:id="2" w:name="_Toc38037972"/>
      <w:r w:rsidRPr="00ED033C">
        <w:rPr>
          <w:rFonts w:ascii="仿宋" w:eastAsia="仿宋" w:hAnsi="仿宋" w:hint="eastAsia"/>
          <w:b w:val="0"/>
          <w:sz w:val="30"/>
          <w:szCs w:val="30"/>
        </w:rPr>
        <w:t>1、公司愿景和发展战略</w:t>
      </w:r>
      <w:bookmarkEnd w:id="2"/>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公司愿景：致力于将中银国际期货打造成一流期货公司，与客户建立紧密协作、共同成长的长期伙伴关系，成为客户最值得信赖的期货服务伙伴。</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发展战略：依托中国银行多业并举的金融业务平台，借鉴中银国际控股丰富的国际资本市场运作经验，紧密携手中银国际证券，严控风险，合规经营。</w:t>
      </w:r>
    </w:p>
    <w:p w:rsidR="005F0C65" w:rsidRPr="00ED033C" w:rsidRDefault="00AA26BA" w:rsidP="00F33EA2">
      <w:pPr>
        <w:pStyle w:val="1"/>
        <w:spacing w:before="0" w:after="0" w:line="360" w:lineRule="auto"/>
        <w:rPr>
          <w:rFonts w:ascii="仿宋" w:eastAsia="仿宋" w:hAnsi="仿宋"/>
          <w:b w:val="0"/>
          <w:sz w:val="30"/>
          <w:szCs w:val="30"/>
        </w:rPr>
      </w:pPr>
      <w:bookmarkStart w:id="3" w:name="_Toc38037973"/>
      <w:r w:rsidRPr="00ED033C">
        <w:rPr>
          <w:rFonts w:ascii="仿宋" w:eastAsia="仿宋" w:hAnsi="仿宋" w:hint="eastAsia"/>
          <w:b w:val="0"/>
          <w:sz w:val="30"/>
          <w:szCs w:val="30"/>
        </w:rPr>
        <w:t>2、公司使命和价值观</w:t>
      </w:r>
      <w:bookmarkEnd w:id="3"/>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国际期货系中银国际证券股份有限公司下设全资子公司，贯彻中国银行“建设新时代全球一流银行”的发展使命，立足期货行业，发挥自身优势，为国家经济的健康稳定发展贡献力量。公司坚持：客户至上、诚信规范、追求卓越、共拓未来的核心价值观，并在经营过程中严控风险，坚守合规底线。</w:t>
      </w:r>
    </w:p>
    <w:p w:rsidR="005F0C65" w:rsidRPr="00ED033C" w:rsidRDefault="00AA26BA" w:rsidP="00F33EA2">
      <w:pPr>
        <w:pStyle w:val="1"/>
        <w:spacing w:before="0" w:after="0" w:line="360" w:lineRule="auto"/>
        <w:rPr>
          <w:rFonts w:ascii="仿宋" w:eastAsia="仿宋" w:hAnsi="仿宋"/>
          <w:b w:val="0"/>
          <w:sz w:val="30"/>
          <w:szCs w:val="30"/>
        </w:rPr>
      </w:pPr>
      <w:bookmarkStart w:id="4" w:name="_Toc38037974"/>
      <w:r w:rsidRPr="00ED033C">
        <w:rPr>
          <w:rFonts w:ascii="仿宋" w:eastAsia="仿宋" w:hAnsi="仿宋" w:hint="eastAsia"/>
          <w:b w:val="0"/>
          <w:sz w:val="30"/>
          <w:szCs w:val="30"/>
        </w:rPr>
        <w:t>3、公司社会责任的认识与定位</w:t>
      </w:r>
      <w:bookmarkEnd w:id="4"/>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在自身发展中，中银国际期货深刻体会到社会的和谐稳定是企业持续发展的前提。作为社会的一份子，中银国际期货在谋求自身壮大的同时，不断探索实现金融创新、员工成长及社会进步的新道路，力争以出色的业绩回报股东，完善的福利保障员工，优质的服务回馈客户，从而为社会和谐，为中国金融事业的发展</w:t>
      </w:r>
      <w:r>
        <w:rPr>
          <w:rFonts w:ascii="仿宋" w:eastAsia="仿宋" w:hAnsi="仿宋" w:hint="eastAsia"/>
          <w:sz w:val="30"/>
          <w:szCs w:val="30"/>
        </w:rPr>
        <w:lastRenderedPageBreak/>
        <w:t>贡献自己的一份力量。</w:t>
      </w:r>
    </w:p>
    <w:p w:rsidR="005F0C65" w:rsidRPr="00ED033C" w:rsidRDefault="00AA26BA" w:rsidP="00F33EA2">
      <w:pPr>
        <w:pStyle w:val="1"/>
        <w:spacing w:before="0" w:after="0" w:line="360" w:lineRule="auto"/>
        <w:rPr>
          <w:rFonts w:ascii="仿宋" w:eastAsia="仿宋" w:hAnsi="仿宋"/>
          <w:b w:val="0"/>
          <w:sz w:val="30"/>
          <w:szCs w:val="30"/>
        </w:rPr>
      </w:pPr>
      <w:bookmarkStart w:id="5" w:name="_Toc38037975"/>
      <w:r w:rsidRPr="00ED033C">
        <w:rPr>
          <w:rFonts w:ascii="仿宋" w:eastAsia="仿宋" w:hAnsi="仿宋" w:hint="eastAsia"/>
          <w:b w:val="0"/>
          <w:sz w:val="30"/>
          <w:szCs w:val="30"/>
        </w:rPr>
        <w:t>4、总裁寄语</w:t>
      </w:r>
      <w:bookmarkEnd w:id="5"/>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2019年，在全球动荡和风险点增多的局面下，中国期货市场从高速增长向高质量增长转变。中银国际期货面对业态升级、淘汰加速的市场环境，及时调整经营策略，控风险、调结构、稳增长，积极面对，克服困难，</w:t>
      </w:r>
      <w:r>
        <w:rPr>
          <w:rFonts w:ascii="仿宋" w:eastAsia="仿宋" w:hAnsi="仿宋"/>
          <w:sz w:val="30"/>
          <w:szCs w:val="30"/>
        </w:rPr>
        <w:t>加大</w:t>
      </w:r>
      <w:r>
        <w:rPr>
          <w:rFonts w:ascii="仿宋" w:eastAsia="仿宋" w:hAnsi="仿宋" w:hint="eastAsia"/>
          <w:sz w:val="30"/>
          <w:szCs w:val="30"/>
        </w:rPr>
        <w:t>专业投资者的服务力度和</w:t>
      </w:r>
      <w:r>
        <w:rPr>
          <w:rFonts w:ascii="仿宋" w:eastAsia="仿宋" w:hAnsi="仿宋"/>
          <w:sz w:val="30"/>
          <w:szCs w:val="30"/>
        </w:rPr>
        <w:t>商品期货开发力度，</w:t>
      </w:r>
      <w:r>
        <w:rPr>
          <w:rFonts w:ascii="仿宋" w:eastAsia="仿宋" w:hAnsi="仿宋" w:hint="eastAsia"/>
          <w:sz w:val="30"/>
          <w:szCs w:val="30"/>
        </w:rPr>
        <w:t>有效</w:t>
      </w:r>
      <w:r>
        <w:rPr>
          <w:rFonts w:ascii="仿宋" w:eastAsia="仿宋" w:hAnsi="仿宋"/>
          <w:sz w:val="30"/>
          <w:szCs w:val="30"/>
        </w:rPr>
        <w:t>调整客户结构，</w:t>
      </w:r>
      <w:r>
        <w:rPr>
          <w:rFonts w:ascii="仿宋" w:eastAsia="仿宋" w:hAnsi="仿宋" w:hint="eastAsia"/>
          <w:sz w:val="30"/>
          <w:szCs w:val="30"/>
        </w:rPr>
        <w:t>努力为社会创造更多的经济价值。</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2019年，公司以调整客户结构、调整业务结构为重心，继续发挥产业和机构客户的服务优势，加强集团联动，部署重点地区营销力量，同时组建网络金融部，线上和线下多方位开拓营销渠道。目前公司已跻身业内国际化业务领先行列，公司的业务特色已经逐步体现，得到市场和客户的认可。</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在风气建设上，公司积极传播社会正能量，响应国家“四风”问题整治工作，节俭办公，严控各项会议及公务花销，杜绝公款聚餐等铺张浪费的行为。</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2020年中银国际期货将本着对股东、对员工、对客户、对社会高度负责的精神，继续担当社会责任，争取在创新驱动发展中实现新突破，在全面深化改革中迈出新步伐，在履行社会责任中取得新成绩。</w:t>
      </w:r>
    </w:p>
    <w:p w:rsidR="005F0C65" w:rsidRPr="00ED033C" w:rsidRDefault="00AA26BA" w:rsidP="00F33EA2">
      <w:pPr>
        <w:pStyle w:val="ab"/>
        <w:spacing w:before="0" w:after="0" w:line="360" w:lineRule="auto"/>
        <w:jc w:val="left"/>
        <w:rPr>
          <w:rFonts w:ascii="仿宋" w:eastAsia="仿宋" w:hAnsi="仿宋"/>
          <w:sz w:val="30"/>
          <w:szCs w:val="30"/>
        </w:rPr>
      </w:pPr>
      <w:bookmarkStart w:id="6" w:name="_Toc38037976"/>
      <w:r>
        <w:rPr>
          <w:rFonts w:ascii="仿宋" w:eastAsia="仿宋" w:hAnsi="仿宋" w:hint="eastAsia"/>
          <w:sz w:val="30"/>
          <w:szCs w:val="30"/>
        </w:rPr>
        <w:t>二、公司概况</w:t>
      </w:r>
      <w:bookmarkEnd w:id="6"/>
    </w:p>
    <w:p w:rsidR="005F0C65" w:rsidRPr="00ED033C" w:rsidRDefault="00AA26BA" w:rsidP="00F33EA2">
      <w:pPr>
        <w:pStyle w:val="1"/>
        <w:spacing w:before="0" w:after="0" w:line="360" w:lineRule="auto"/>
        <w:rPr>
          <w:rFonts w:ascii="仿宋" w:eastAsia="仿宋" w:hAnsi="仿宋"/>
          <w:b w:val="0"/>
          <w:sz w:val="30"/>
          <w:szCs w:val="30"/>
        </w:rPr>
      </w:pPr>
      <w:bookmarkStart w:id="7" w:name="_Toc38037977"/>
      <w:r w:rsidRPr="00ED033C">
        <w:rPr>
          <w:rFonts w:ascii="仿宋" w:eastAsia="仿宋" w:hAnsi="仿宋" w:hint="eastAsia"/>
          <w:b w:val="0"/>
          <w:sz w:val="30"/>
          <w:szCs w:val="30"/>
        </w:rPr>
        <w:lastRenderedPageBreak/>
        <w:t>1、公司概况</w:t>
      </w:r>
      <w:bookmarkEnd w:id="7"/>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国际期货由中银国际证券股份有限公司全资设立，注册资本金为3.5亿元人民币。经中国证券监督管理委员会批准，获国家《经营证券期货业务许可证》，从事商品期货经纪、金融期货经纪、期货投资咨询、资产管理等业务。是国内首家既有国有商业银行背景，又有创新类券商背景的期货公司。</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国际期货作为中国主要期货交易所的全权会员，专业代理客户进行期货交易、结算和交割等各项业务。公司管理层及经营层都由长期从事期货行业、经验丰富的精英组成，部门主管以上人员平均从业12年。公司专业的研究团队，汇聚了业内研究水平一流、实务操作成绩稳健的研究员作为核心力量；确保为客户提供高质量的专业咨询。同时，公司致力于为客户提供安全、快捷的网上交易系统、方便的银期转帐和专业的交割服务。</w:t>
      </w:r>
    </w:p>
    <w:p w:rsidR="005F0C65" w:rsidRPr="00ED033C" w:rsidRDefault="00AA26BA" w:rsidP="00F33EA2">
      <w:pPr>
        <w:pStyle w:val="1"/>
        <w:spacing w:before="0" w:after="0" w:line="360" w:lineRule="auto"/>
        <w:rPr>
          <w:rFonts w:ascii="仿宋" w:eastAsia="仿宋" w:hAnsi="仿宋"/>
          <w:b w:val="0"/>
          <w:sz w:val="30"/>
          <w:szCs w:val="30"/>
        </w:rPr>
      </w:pPr>
      <w:bookmarkStart w:id="8" w:name="_Toc38037978"/>
      <w:r w:rsidRPr="00ED033C">
        <w:rPr>
          <w:rFonts w:ascii="仿宋" w:eastAsia="仿宋" w:hAnsi="仿宋" w:hint="eastAsia"/>
          <w:b w:val="0"/>
          <w:sz w:val="30"/>
          <w:szCs w:val="30"/>
        </w:rPr>
        <w:t>2、公司大事记</w:t>
      </w:r>
      <w:bookmarkEnd w:id="8"/>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sz w:val="30"/>
          <w:szCs w:val="30"/>
        </w:rPr>
        <w:t>2008年1月21日</w:t>
      </w:r>
      <w:r>
        <w:rPr>
          <w:rFonts w:ascii="仿宋" w:eastAsia="仿宋" w:hAnsi="仿宋" w:hint="eastAsia"/>
          <w:sz w:val="30"/>
          <w:szCs w:val="30"/>
        </w:rPr>
        <w:t>，中银国际期货</w:t>
      </w:r>
      <w:r>
        <w:rPr>
          <w:rFonts w:ascii="仿宋" w:eastAsia="仿宋" w:hAnsi="仿宋"/>
          <w:sz w:val="30"/>
          <w:szCs w:val="30"/>
        </w:rPr>
        <w:t>正式设立，</w:t>
      </w:r>
      <w:r>
        <w:rPr>
          <w:rFonts w:ascii="仿宋" w:eastAsia="仿宋" w:hAnsi="仿宋" w:hint="eastAsia"/>
          <w:sz w:val="30"/>
          <w:szCs w:val="30"/>
        </w:rPr>
        <w:t>并</w:t>
      </w:r>
      <w:r>
        <w:rPr>
          <w:rFonts w:ascii="仿宋" w:eastAsia="仿宋" w:hAnsi="仿宋"/>
          <w:sz w:val="30"/>
          <w:szCs w:val="30"/>
        </w:rPr>
        <w:t>于2008年3月26日取得期货业务经营许可证，获准从事商品期货经纪业务</w:t>
      </w:r>
      <w:r>
        <w:rPr>
          <w:rFonts w:ascii="仿宋" w:eastAsia="仿宋" w:hAnsi="仿宋" w:hint="eastAsia"/>
          <w:sz w:val="30"/>
          <w:szCs w:val="30"/>
        </w:rPr>
        <w:t>。</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sz w:val="30"/>
          <w:szCs w:val="30"/>
        </w:rPr>
        <w:t>2008年4～5月，公司成为上海期货交易所、大连商品交易所、郑州商品交易所会员</w:t>
      </w:r>
      <w:r>
        <w:rPr>
          <w:rFonts w:ascii="仿宋" w:eastAsia="仿宋" w:hAnsi="仿宋" w:hint="eastAsia"/>
          <w:sz w:val="30"/>
          <w:szCs w:val="30"/>
        </w:rPr>
        <w:t>。</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sz w:val="30"/>
          <w:szCs w:val="30"/>
        </w:rPr>
        <w:t>2008年12月9日</w:t>
      </w:r>
      <w:r>
        <w:rPr>
          <w:rFonts w:ascii="仿宋" w:eastAsia="仿宋" w:hAnsi="仿宋" w:hint="eastAsia"/>
          <w:sz w:val="30"/>
          <w:szCs w:val="30"/>
        </w:rPr>
        <w:t>，公司</w:t>
      </w:r>
      <w:r>
        <w:rPr>
          <w:rFonts w:ascii="仿宋" w:eastAsia="仿宋" w:hAnsi="仿宋"/>
          <w:sz w:val="30"/>
          <w:szCs w:val="30"/>
        </w:rPr>
        <w:t>取得金融期货经纪业务资格和交易结算业务资格。</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 xml:space="preserve">2009年6月4日，公司成为中国金融期货交易所交易结算会员 </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lastRenderedPageBreak/>
        <w:t>2009年6月17日，公司增加注册资本金到人民币1亿元。</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2013年2月28日，公司增加注册资本金到人民币1.5亿元。</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2013年12月27日，公司获得期货投资咨询业务资格。</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2014年1月22日，公司增加注册资本金到人民币3.5亿元。</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2015年1月26日，公司获得资产管理业务资格。</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2015年11月30日，经海南省工商行政管理局和上海市工商行政管理局核准，公司注册地迁至上海。</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sz w:val="30"/>
          <w:szCs w:val="30"/>
        </w:rPr>
        <w:t>2017年5月31日，公司获得上海国际能源交易中心会员资格</w:t>
      </w:r>
      <w:r>
        <w:rPr>
          <w:rFonts w:ascii="仿宋" w:eastAsia="仿宋" w:hAnsi="仿宋" w:hint="eastAsia"/>
          <w:sz w:val="30"/>
          <w:szCs w:val="30"/>
        </w:rPr>
        <w:t>。</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019</w:t>
      </w:r>
      <w:r>
        <w:rPr>
          <w:rFonts w:ascii="仿宋" w:eastAsia="仿宋" w:hAnsi="仿宋" w:hint="eastAsia"/>
          <w:sz w:val="30"/>
          <w:szCs w:val="30"/>
        </w:rPr>
        <w:t>年9月2</w:t>
      </w:r>
      <w:r>
        <w:rPr>
          <w:rFonts w:ascii="仿宋" w:eastAsia="仿宋" w:hAnsi="仿宋"/>
          <w:sz w:val="30"/>
          <w:szCs w:val="30"/>
        </w:rPr>
        <w:t>7</w:t>
      </w:r>
      <w:r>
        <w:rPr>
          <w:rFonts w:ascii="仿宋" w:eastAsia="仿宋" w:hAnsi="仿宋" w:hint="eastAsia"/>
          <w:sz w:val="30"/>
          <w:szCs w:val="30"/>
        </w:rPr>
        <w:t>日，公司获得中国金融期货交易所全面结算会员资格。</w:t>
      </w:r>
    </w:p>
    <w:p w:rsidR="005F0C65" w:rsidRPr="00ED033C" w:rsidRDefault="00AA26BA" w:rsidP="00F33EA2">
      <w:pPr>
        <w:pStyle w:val="1"/>
        <w:spacing w:before="0" w:after="0" w:line="360" w:lineRule="auto"/>
        <w:rPr>
          <w:rFonts w:ascii="仿宋" w:eastAsia="仿宋" w:hAnsi="仿宋"/>
          <w:b w:val="0"/>
          <w:sz w:val="30"/>
          <w:szCs w:val="30"/>
        </w:rPr>
      </w:pPr>
      <w:bookmarkStart w:id="9" w:name="_Toc38037979"/>
      <w:r w:rsidRPr="00ED033C">
        <w:rPr>
          <w:rFonts w:ascii="仿宋" w:eastAsia="仿宋" w:hAnsi="仿宋" w:hint="eastAsia"/>
          <w:b w:val="0"/>
          <w:sz w:val="30"/>
          <w:szCs w:val="30"/>
        </w:rPr>
        <w:t>3、公司利益相关者关系</w:t>
      </w:r>
      <w:bookmarkEnd w:id="9"/>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中银国际期货的利益相关者包括：中国银行、中银国际证券股份有限公司、员工及投资者。他们的信任和支持是我们稳健发展的重要条件。</w:t>
      </w:r>
    </w:p>
    <w:p w:rsidR="005F0C65" w:rsidRPr="00ED033C" w:rsidRDefault="00AA26BA" w:rsidP="00F33EA2">
      <w:pPr>
        <w:pStyle w:val="1"/>
        <w:spacing w:before="0" w:after="0" w:line="360" w:lineRule="auto"/>
        <w:rPr>
          <w:rFonts w:ascii="仿宋" w:eastAsia="仿宋" w:hAnsi="仿宋"/>
          <w:b w:val="0"/>
          <w:sz w:val="30"/>
          <w:szCs w:val="30"/>
        </w:rPr>
      </w:pPr>
      <w:bookmarkStart w:id="10" w:name="_Toc38037980"/>
      <w:r w:rsidRPr="00ED033C">
        <w:rPr>
          <w:rFonts w:ascii="仿宋" w:eastAsia="仿宋" w:hAnsi="仿宋" w:hint="eastAsia"/>
          <w:b w:val="0"/>
          <w:sz w:val="30"/>
          <w:szCs w:val="30"/>
        </w:rPr>
        <w:t>4、本报告内容的范围和概况</w:t>
      </w:r>
      <w:bookmarkEnd w:id="10"/>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本报告主要描述2019年1月1日至2019年12月31日期间，中银国际期货在公司治理、经济责任、社会责任、员工责任及客户责任等方面的工作情况。</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本报告的编写遵循了《上海期货公司社会责任报告编制框架指引》以及《上海期货公司社会责任工作指引》文件要求，同时突出公司的企业特点和行业特色。</w:t>
      </w:r>
    </w:p>
    <w:p w:rsidR="005F0C65" w:rsidRDefault="00AA26BA" w:rsidP="00F33EA2">
      <w:pPr>
        <w:spacing w:line="360" w:lineRule="auto"/>
        <w:ind w:firstLineChars="200" w:firstLine="600"/>
        <w:rPr>
          <w:rFonts w:ascii="楷体_GB2312" w:eastAsia="楷体_GB2312" w:hAnsi="宋体"/>
          <w:sz w:val="28"/>
        </w:rPr>
      </w:pPr>
      <w:r>
        <w:rPr>
          <w:rFonts w:ascii="仿宋" w:eastAsia="仿宋" w:hAnsi="仿宋" w:hint="eastAsia"/>
          <w:sz w:val="30"/>
          <w:szCs w:val="30"/>
        </w:rPr>
        <w:lastRenderedPageBreak/>
        <w:t>如无特别说明，报告的资料和数据均来源于中银国际期货，所引用的2019年数据为最终统计数据</w:t>
      </w:r>
      <w:r>
        <w:rPr>
          <w:rFonts w:ascii="楷体_GB2312" w:eastAsia="楷体_GB2312" w:hAnsi="宋体" w:hint="eastAsia"/>
          <w:sz w:val="28"/>
        </w:rPr>
        <w:t>。</w:t>
      </w:r>
    </w:p>
    <w:p w:rsidR="005F0C65" w:rsidRPr="00ED033C" w:rsidRDefault="00AA26BA" w:rsidP="00F33EA2">
      <w:pPr>
        <w:pStyle w:val="ab"/>
        <w:spacing w:before="0" w:after="0" w:line="360" w:lineRule="auto"/>
        <w:jc w:val="left"/>
        <w:rPr>
          <w:rFonts w:ascii="仿宋" w:eastAsia="仿宋" w:hAnsi="仿宋"/>
          <w:sz w:val="30"/>
          <w:szCs w:val="30"/>
        </w:rPr>
      </w:pPr>
      <w:bookmarkStart w:id="11" w:name="_Toc38037981"/>
      <w:r>
        <w:rPr>
          <w:rFonts w:ascii="仿宋" w:eastAsia="仿宋" w:hAnsi="仿宋" w:hint="eastAsia"/>
          <w:sz w:val="30"/>
          <w:szCs w:val="30"/>
        </w:rPr>
        <w:t>三、公司治理结构与管理体制</w:t>
      </w:r>
      <w:bookmarkEnd w:id="11"/>
    </w:p>
    <w:p w:rsidR="005F0C65" w:rsidRPr="00ED033C" w:rsidRDefault="00AA26BA" w:rsidP="00F33EA2">
      <w:pPr>
        <w:pStyle w:val="1"/>
        <w:spacing w:before="0" w:after="0" w:line="360" w:lineRule="auto"/>
        <w:rPr>
          <w:rFonts w:ascii="仿宋" w:eastAsia="仿宋" w:hAnsi="仿宋"/>
          <w:b w:val="0"/>
          <w:sz w:val="30"/>
          <w:szCs w:val="30"/>
        </w:rPr>
      </w:pPr>
      <w:bookmarkStart w:id="12" w:name="_Toc38037982"/>
      <w:r w:rsidRPr="00ED033C">
        <w:rPr>
          <w:rFonts w:ascii="仿宋" w:eastAsia="仿宋" w:hAnsi="仿宋" w:hint="eastAsia"/>
          <w:b w:val="0"/>
          <w:sz w:val="30"/>
          <w:szCs w:val="30"/>
        </w:rPr>
        <w:t>1、股东责权</w:t>
      </w:r>
      <w:bookmarkEnd w:id="12"/>
    </w:p>
    <w:p w:rsidR="005F0C65" w:rsidRDefault="00AA26BA" w:rsidP="00F33EA2">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中银国际期货是法人独资的一人有限责任公司，全资股东中银国际证券股份公司通过董事会和监事对公司进行管理监督。股东公司严格依法行使出资人权利，认真履行章程规定的对公司负有的各项义务，尊重公司的独立性，不干预公司日常管理活动，确保公司与其在业务、人员、资产、财务等方面相互独立，未出现任何利用关联交易、资金占用等方式损害公司合法权益的事项，也未利用其独资控股地位等损害公司利益，影响公司稳健经营的情况。</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同时，管理层在授权范围内积极履行管理职责，及时汇报公司经营过程中的重要事项，财务部每月向股东汇报公司经营情况分析表，确保股东能及时了解公司的财务数据变动，确保自身合法权益。</w:t>
      </w:r>
    </w:p>
    <w:p w:rsidR="005F0C65" w:rsidRPr="00ED033C" w:rsidRDefault="00AA26BA" w:rsidP="00F33EA2">
      <w:pPr>
        <w:pStyle w:val="1"/>
        <w:spacing w:before="0" w:after="0" w:line="360" w:lineRule="auto"/>
        <w:rPr>
          <w:rFonts w:ascii="仿宋" w:eastAsia="仿宋" w:hAnsi="仿宋"/>
          <w:b w:val="0"/>
          <w:sz w:val="30"/>
          <w:szCs w:val="30"/>
        </w:rPr>
      </w:pPr>
      <w:bookmarkStart w:id="13" w:name="_Toc38037983"/>
      <w:r w:rsidRPr="00ED033C">
        <w:rPr>
          <w:rFonts w:ascii="仿宋" w:eastAsia="仿宋" w:hAnsi="仿宋" w:hint="eastAsia"/>
          <w:b w:val="0"/>
          <w:sz w:val="30"/>
          <w:szCs w:val="30"/>
        </w:rPr>
        <w:t>2、董事会、监事会、高级管理人员</w:t>
      </w:r>
      <w:bookmarkEnd w:id="13"/>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公司董事会根据股东授权执行公司战略，监管公司经营，提出发展要求，传达股东精神。公司董事会成员五人，其中董事长一人，董事四人。董事会严格按照法律法规、公司章程和董事会议事规则规定，有效形式职权并履行义务，运作规范。2019年共召开董事会会议一次。</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lastRenderedPageBreak/>
        <w:t>公司设监事一人，对股东负责，对董事会及期货公司管理层履职进行监督，保障股东权益、公司利益和员工合法权益不受侵犯。</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公司管理层设有总经理一人，副总经理二人，首席风险官</w:t>
      </w:r>
      <w:r w:rsidR="000652A3">
        <w:rPr>
          <w:rFonts w:ascii="仿宋" w:eastAsia="仿宋" w:hAnsi="仿宋" w:hint="eastAsia"/>
          <w:sz w:val="30"/>
          <w:szCs w:val="30"/>
        </w:rPr>
        <w:t>一</w:t>
      </w:r>
      <w:r>
        <w:rPr>
          <w:rFonts w:ascii="仿宋" w:eastAsia="仿宋" w:hAnsi="仿宋" w:hint="eastAsia"/>
          <w:sz w:val="30"/>
          <w:szCs w:val="30"/>
        </w:rPr>
        <w:t>名，负责公司日常经营管理。</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中银国际期货所有董事、监事、高级管理人员均具备相应资格，且严格按照职责要求认真履职。公司高级管理人员数量符合要求，不存在缺位、违规兼职、任用无资格人员等情形。</w:t>
      </w:r>
    </w:p>
    <w:p w:rsidR="005F0C65" w:rsidRPr="00ED033C" w:rsidRDefault="00AA26BA" w:rsidP="00F33EA2">
      <w:pPr>
        <w:pStyle w:val="1"/>
        <w:spacing w:before="0" w:after="0" w:line="360" w:lineRule="auto"/>
        <w:rPr>
          <w:rFonts w:ascii="仿宋" w:eastAsia="仿宋" w:hAnsi="仿宋"/>
          <w:b w:val="0"/>
          <w:sz w:val="30"/>
          <w:szCs w:val="30"/>
        </w:rPr>
      </w:pPr>
      <w:bookmarkStart w:id="14" w:name="_Toc38037984"/>
      <w:r w:rsidRPr="00ED033C">
        <w:rPr>
          <w:rFonts w:ascii="仿宋" w:eastAsia="仿宋" w:hAnsi="仿宋" w:hint="eastAsia"/>
          <w:b w:val="0"/>
          <w:sz w:val="30"/>
          <w:szCs w:val="30"/>
        </w:rPr>
        <w:t>3、公司组织结构</w:t>
      </w:r>
      <w:bookmarkEnd w:id="14"/>
    </w:p>
    <w:p w:rsidR="005F0C65" w:rsidRDefault="00F60A33" w:rsidP="00F33EA2">
      <w:pPr>
        <w:spacing w:line="360" w:lineRule="auto"/>
        <w:ind w:firstLine="555"/>
        <w:rPr>
          <w:rFonts w:ascii="仿宋" w:eastAsia="仿宋" w:hAnsi="仿宋" w:cs="Arial"/>
          <w:sz w:val="28"/>
        </w:rPr>
      </w:pPr>
      <w:r w:rsidRPr="00F60A33">
        <w:rPr>
          <w:noProof/>
        </w:rPr>
        <w:pict>
          <v:shape id="图片框 1025" o:spid="_x0000_s1033" type="#_x0000_t75" style="position:absolute;left:0;text-align:left;margin-left:-6.55pt;margin-top:47.25pt;width:403.95pt;height:302.05pt;z-index:1">
            <v:imagedata r:id="rId13" o:title="" chromakey="white"/>
          </v:shape>
        </w:pict>
      </w:r>
      <w:r w:rsidR="00AA26BA">
        <w:rPr>
          <w:rFonts w:ascii="仿宋" w:eastAsia="仿宋" w:hAnsi="仿宋" w:cs="Arial" w:hint="eastAsia"/>
          <w:sz w:val="28"/>
        </w:rPr>
        <w:t>公司建立了符合现代法人治理结构的管理组织机构：由董事会、经营管理层、职能部门组成的管理体系。</w:t>
      </w: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5F0C65" w:rsidRDefault="005F0C65">
      <w:pPr>
        <w:rPr>
          <w:rFonts w:ascii="仿宋" w:eastAsia="仿宋" w:hAnsi="仿宋" w:cs="Arial"/>
          <w:color w:val="FF0000"/>
          <w:sz w:val="28"/>
        </w:rPr>
      </w:pPr>
    </w:p>
    <w:p w:rsidR="005F0C65" w:rsidRPr="00F33EA2" w:rsidRDefault="00AA26BA" w:rsidP="00F33EA2">
      <w:pPr>
        <w:spacing w:line="360" w:lineRule="auto"/>
        <w:ind w:firstLineChars="200" w:firstLine="600"/>
        <w:rPr>
          <w:rFonts w:ascii="仿宋" w:eastAsia="仿宋" w:hAnsi="仿宋" w:cs="Arial"/>
          <w:sz w:val="30"/>
          <w:szCs w:val="30"/>
        </w:rPr>
      </w:pPr>
      <w:r w:rsidRPr="00F33EA2">
        <w:rPr>
          <w:rFonts w:ascii="仿宋" w:eastAsia="仿宋" w:hAnsi="仿宋" w:cs="Arial" w:hint="eastAsia"/>
          <w:sz w:val="30"/>
          <w:szCs w:val="30"/>
        </w:rPr>
        <w:t>公司组织架构清晰，依照重要业务、岗位分设制约和工作分离的原则设立职能部门，并建立完善各项内控制度，有效保障公</w:t>
      </w:r>
      <w:r w:rsidRPr="00F33EA2">
        <w:rPr>
          <w:rFonts w:ascii="仿宋" w:eastAsia="仿宋" w:hAnsi="仿宋" w:cs="Arial" w:hint="eastAsia"/>
          <w:sz w:val="30"/>
          <w:szCs w:val="30"/>
        </w:rPr>
        <w:lastRenderedPageBreak/>
        <w:t>司经营管理合法合规。</w:t>
      </w:r>
    </w:p>
    <w:p w:rsidR="005F0C65" w:rsidRPr="00314509" w:rsidRDefault="00AA26BA" w:rsidP="00F33EA2">
      <w:pPr>
        <w:pStyle w:val="1"/>
        <w:spacing w:before="0" w:after="0" w:line="360" w:lineRule="auto"/>
        <w:rPr>
          <w:rFonts w:ascii="仿宋" w:eastAsia="仿宋" w:hAnsi="仿宋"/>
          <w:b w:val="0"/>
          <w:sz w:val="30"/>
          <w:szCs w:val="30"/>
        </w:rPr>
      </w:pPr>
      <w:bookmarkStart w:id="15" w:name="_Toc38037985"/>
      <w:r w:rsidRPr="00314509">
        <w:rPr>
          <w:rFonts w:ascii="仿宋" w:eastAsia="仿宋" w:hAnsi="仿宋" w:hint="eastAsia"/>
          <w:b w:val="0"/>
          <w:sz w:val="30"/>
          <w:szCs w:val="30"/>
        </w:rPr>
        <w:t>4、履职情况</w:t>
      </w:r>
      <w:bookmarkEnd w:id="15"/>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本年度公司董事会共召开一次董事会，五名董事均出席了会议，监事和公司管理层列席了会议。董事会决议以五名董事通过举手表决或书面传签方式进行，相关决议及董事会会议记录五名董事均书面签名确认。上述程序符合公司法及公司章程及相关议事规则规定。</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本年度公司执委会定期或不定期召开会议，研究讨论公司经营管理问题，会议主要内容均有记录。风险控制、预算和采购、信息技术、紧急应变领导等小组在所规定的范围内协助执委会对相关事项进行审议。</w:t>
      </w:r>
    </w:p>
    <w:p w:rsidR="005F0C65" w:rsidRPr="00314509" w:rsidRDefault="00AA26BA" w:rsidP="00F33EA2">
      <w:pPr>
        <w:pStyle w:val="1"/>
        <w:spacing w:before="0" w:after="0" w:line="360" w:lineRule="auto"/>
        <w:rPr>
          <w:rFonts w:ascii="仿宋" w:eastAsia="仿宋" w:hAnsi="仿宋"/>
          <w:b w:val="0"/>
          <w:sz w:val="30"/>
          <w:szCs w:val="30"/>
        </w:rPr>
      </w:pPr>
      <w:bookmarkStart w:id="16" w:name="_Toc38037986"/>
      <w:r w:rsidRPr="00314509">
        <w:rPr>
          <w:rFonts w:ascii="仿宋" w:eastAsia="仿宋" w:hAnsi="仿宋" w:hint="eastAsia"/>
          <w:b w:val="0"/>
          <w:sz w:val="30"/>
          <w:szCs w:val="30"/>
        </w:rPr>
        <w:t>5</w:t>
      </w:r>
      <w:r w:rsidR="005B1D0C">
        <w:rPr>
          <w:rFonts w:ascii="仿宋" w:eastAsia="仿宋" w:hAnsi="仿宋" w:hint="eastAsia"/>
          <w:b w:val="0"/>
          <w:sz w:val="30"/>
          <w:szCs w:val="30"/>
        </w:rPr>
        <w:t>、</w:t>
      </w:r>
      <w:r w:rsidRPr="00314509">
        <w:rPr>
          <w:rFonts w:ascii="仿宋" w:eastAsia="仿宋" w:hAnsi="仿宋" w:hint="eastAsia"/>
          <w:b w:val="0"/>
          <w:sz w:val="30"/>
          <w:szCs w:val="30"/>
        </w:rPr>
        <w:t>取得经济、环境和社会管理体系有关的具有公信力的认证状况</w:t>
      </w:r>
      <w:bookmarkEnd w:id="16"/>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2019年公司在合规经营的同时，致力于打造专业、积极的行业形象，取得了一定成效，获得各界认可。</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11</w:t>
      </w:r>
      <w:r w:rsidR="00571A34">
        <w:rPr>
          <w:rFonts w:ascii="仿宋" w:eastAsia="仿宋" w:hAnsi="仿宋" w:hint="eastAsia"/>
          <w:sz w:val="30"/>
          <w:szCs w:val="30"/>
        </w:rPr>
        <w:t>月，获期货日报、证券时报颁发的“第十二届中国最佳期货经营机构国际</w:t>
      </w:r>
      <w:r>
        <w:rPr>
          <w:rFonts w:ascii="仿宋" w:eastAsia="仿宋" w:hAnsi="仿宋" w:hint="eastAsia"/>
          <w:sz w:val="30"/>
          <w:szCs w:val="30"/>
        </w:rPr>
        <w:t>化进程新锐奖”、“第十二届中国最佳期货分析师评选-最佳工业品期货分析师”、“第十二届中国最佳期货分析师评选-最佳农副产品期货分析师”；</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12月，获上海期货交易所“优秀分析师团队”、“优秀有色金属分析师”、“优秀黑色金属分析师”、“优秀能化分析师”；获上海国际能源交易中心“优秀产业服务团队”；</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lastRenderedPageBreak/>
        <w:t>2019年度获上海期货交易所“优秀会员金奖”、“铜产业服务奖”、“铅锌产业服务</w:t>
      </w:r>
      <w:r w:rsidR="009F44DB">
        <w:rPr>
          <w:rFonts w:ascii="仿宋" w:eastAsia="仿宋" w:hAnsi="仿宋" w:hint="eastAsia"/>
          <w:sz w:val="30"/>
          <w:szCs w:val="30"/>
        </w:rPr>
        <w:t>奖”、“能化产业服务奖”；获上海国际能源交易中心“优秀会员奖”；</w:t>
      </w:r>
      <w:r>
        <w:rPr>
          <w:rFonts w:ascii="仿宋" w:eastAsia="仿宋" w:hAnsi="仿宋" w:hint="eastAsia"/>
          <w:sz w:val="30"/>
          <w:szCs w:val="30"/>
        </w:rPr>
        <w:t>获中国金融期货交易所“2019年度优秀会员金奖”、“2019年度业务创新奖”。</w:t>
      </w:r>
    </w:p>
    <w:p w:rsidR="005F0C65" w:rsidRPr="00ED033C" w:rsidRDefault="00AA26BA" w:rsidP="00F33EA2">
      <w:pPr>
        <w:pStyle w:val="ab"/>
        <w:spacing w:before="0" w:after="0" w:line="360" w:lineRule="auto"/>
        <w:jc w:val="left"/>
        <w:rPr>
          <w:rFonts w:ascii="仿宋" w:eastAsia="仿宋" w:hAnsi="仿宋"/>
          <w:sz w:val="30"/>
          <w:szCs w:val="30"/>
        </w:rPr>
      </w:pPr>
      <w:bookmarkStart w:id="17" w:name="_Toc38037987"/>
      <w:r>
        <w:rPr>
          <w:rFonts w:ascii="仿宋" w:eastAsia="仿宋" w:hAnsi="仿宋" w:hint="eastAsia"/>
          <w:sz w:val="30"/>
          <w:szCs w:val="30"/>
        </w:rPr>
        <w:t>四、经济责任与业绩</w:t>
      </w:r>
      <w:bookmarkEnd w:id="17"/>
    </w:p>
    <w:p w:rsidR="005F0C65" w:rsidRPr="00314509" w:rsidRDefault="00AA26BA" w:rsidP="00F33EA2">
      <w:pPr>
        <w:pStyle w:val="1"/>
        <w:spacing w:before="0" w:after="0" w:line="360" w:lineRule="auto"/>
        <w:rPr>
          <w:rFonts w:ascii="仿宋" w:eastAsia="仿宋" w:hAnsi="仿宋"/>
          <w:b w:val="0"/>
          <w:sz w:val="30"/>
          <w:szCs w:val="30"/>
        </w:rPr>
      </w:pPr>
      <w:bookmarkStart w:id="18" w:name="_Toc38037988"/>
      <w:r w:rsidRPr="00314509">
        <w:rPr>
          <w:rFonts w:ascii="仿宋" w:eastAsia="仿宋" w:hAnsi="仿宋" w:hint="eastAsia"/>
          <w:b w:val="0"/>
          <w:sz w:val="30"/>
          <w:szCs w:val="30"/>
        </w:rPr>
        <w:t>1、公司经济发展大事记</w:t>
      </w:r>
      <w:bookmarkEnd w:id="18"/>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——1月24日，公司联合中行常州分行、中银国际证券常州营业部在常州召开2019年高端客户金融推介会。</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——3月29日，中银国际期货、中国银行上海市分行联合上海国际能源交易中心举办“中银行远、畅游全球——原油期货高峰论坛暨第十届中银大宗商品企业服务峰会”。</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——3月30日，由中银国际期货主办、避险联盟网、酷耳财经协办的“</w:t>
      </w:r>
      <w:r>
        <w:rPr>
          <w:rFonts w:ascii="仿宋" w:eastAsia="仿宋" w:hAnsi="仿宋"/>
          <w:sz w:val="30"/>
          <w:szCs w:val="30"/>
        </w:rPr>
        <w:t>衍禧攻略：金融衍生品与企业风险管理”在杭州成功举办</w:t>
      </w:r>
      <w:r>
        <w:rPr>
          <w:rFonts w:ascii="仿宋" w:eastAsia="仿宋" w:hAnsi="仿宋" w:hint="eastAsia"/>
          <w:sz w:val="30"/>
          <w:szCs w:val="30"/>
        </w:rPr>
        <w:t>。</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——4月10日，公司与嘉兴工商联合会、避险联盟网在嘉兴联合举办金融服务民营经济高质量发展暨企业风险管理论坛。</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——6月5日，中银国际期货第二届“郑商所杯”大学生模拟交易大赛在上海电机学院拉开帷幕。</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——6月5日，由中银国际期货主办、避险联盟网协办的“</w:t>
      </w:r>
      <w:r>
        <w:rPr>
          <w:rFonts w:ascii="仿宋" w:eastAsia="仿宋" w:hAnsi="仿宋"/>
          <w:sz w:val="30"/>
          <w:szCs w:val="30"/>
        </w:rPr>
        <w:t>衍禧攻略：原油期货与企业风险管理</w:t>
      </w:r>
      <w:r>
        <w:rPr>
          <w:rFonts w:ascii="仿宋" w:eastAsia="仿宋" w:hAnsi="仿宋" w:hint="eastAsia"/>
          <w:sz w:val="30"/>
          <w:szCs w:val="30"/>
        </w:rPr>
        <w:t>”论坛在东营成功举办。</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——7月30日，公司组建深圳分公司。</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——8月8日，公司举办“2019年下半年化工行情研讨会”。</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lastRenderedPageBreak/>
        <w:t>——8月23日，公司与中国银行山东省分行联合举办“中银国际期货第一届尿素期货产业论坛”。</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——9月27日，公司顺利取得中国金融期货交易所全面结算会员资格，成为全行业第27家拥有该资格的期货公司。</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——11月19日，公司主办“2020年股指投资策略会”。</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——12月11日，公司升级原济南营业部为山东分公司。</w:t>
      </w:r>
    </w:p>
    <w:p w:rsidR="005F0C65" w:rsidRPr="00314509" w:rsidRDefault="00AA26BA" w:rsidP="00F33EA2">
      <w:pPr>
        <w:pStyle w:val="1"/>
        <w:spacing w:before="0" w:after="0" w:line="360" w:lineRule="auto"/>
        <w:rPr>
          <w:rFonts w:ascii="仿宋" w:eastAsia="仿宋" w:hAnsi="仿宋"/>
          <w:b w:val="0"/>
          <w:sz w:val="30"/>
          <w:szCs w:val="30"/>
        </w:rPr>
      </w:pPr>
      <w:bookmarkStart w:id="19" w:name="_Toc38037989"/>
      <w:r w:rsidRPr="00314509">
        <w:rPr>
          <w:rFonts w:ascii="仿宋" w:eastAsia="仿宋" w:hAnsi="仿宋" w:hint="eastAsia"/>
          <w:b w:val="0"/>
          <w:sz w:val="30"/>
          <w:szCs w:val="30"/>
        </w:rPr>
        <w:t>2、公司经营情况</w:t>
      </w:r>
      <w:bookmarkEnd w:id="19"/>
    </w:p>
    <w:p w:rsidR="005F0C65" w:rsidRPr="00A06445" w:rsidRDefault="00AA26BA" w:rsidP="00F33EA2">
      <w:pPr>
        <w:spacing w:line="360" w:lineRule="auto"/>
        <w:ind w:firstLineChars="200" w:firstLine="600"/>
        <w:rPr>
          <w:rFonts w:ascii="仿宋" w:eastAsia="仿宋" w:hAnsi="仿宋" w:cs="仿宋"/>
          <w:sz w:val="30"/>
          <w:szCs w:val="30"/>
        </w:rPr>
      </w:pPr>
      <w:r w:rsidRPr="00A06445">
        <w:rPr>
          <w:rFonts w:ascii="仿宋" w:eastAsia="仿宋" w:hAnsi="仿宋" w:cs="仿宋" w:hint="eastAsia"/>
          <w:sz w:val="30"/>
          <w:szCs w:val="30"/>
        </w:rPr>
        <w:t>2019年公司客户总计达10002户，当年新增客户1442户，总成交手数3571.96万手，成交总额为34047.33亿元；2019年客户权益54.93亿元，</w:t>
      </w:r>
      <w:r w:rsidRPr="00A06445">
        <w:rPr>
          <w:rFonts w:ascii="仿宋" w:eastAsia="仿宋" w:hAnsi="仿宋" w:cs="仿宋"/>
          <w:sz w:val="30"/>
          <w:szCs w:val="30"/>
        </w:rPr>
        <w:t>公司自然人客户占</w:t>
      </w:r>
      <w:r w:rsidRPr="00A06445">
        <w:rPr>
          <w:rFonts w:ascii="仿宋" w:eastAsia="仿宋" w:hAnsi="仿宋" w:cs="仿宋" w:hint="eastAsia"/>
          <w:sz w:val="30"/>
          <w:szCs w:val="30"/>
        </w:rPr>
        <w:t>比94.92%</w:t>
      </w:r>
      <w:r w:rsidRPr="00A06445">
        <w:rPr>
          <w:rFonts w:ascii="仿宋" w:eastAsia="仿宋" w:hAnsi="仿宋" w:cs="仿宋"/>
          <w:sz w:val="30"/>
          <w:szCs w:val="30"/>
        </w:rPr>
        <w:t>，</w:t>
      </w:r>
      <w:r w:rsidRPr="00A06445">
        <w:rPr>
          <w:rFonts w:ascii="仿宋" w:eastAsia="仿宋" w:hAnsi="仿宋" w:cs="仿宋" w:hint="eastAsia"/>
          <w:sz w:val="30"/>
          <w:szCs w:val="30"/>
        </w:rPr>
        <w:t>机构</w:t>
      </w:r>
      <w:r w:rsidRPr="00A06445">
        <w:rPr>
          <w:rFonts w:ascii="仿宋" w:eastAsia="仿宋" w:hAnsi="仿宋" w:cs="仿宋"/>
          <w:sz w:val="30"/>
          <w:szCs w:val="30"/>
        </w:rPr>
        <w:t>客户占</w:t>
      </w:r>
      <w:r w:rsidRPr="00A06445">
        <w:rPr>
          <w:rFonts w:ascii="仿宋" w:eastAsia="仿宋" w:hAnsi="仿宋" w:cs="仿宋" w:hint="eastAsia"/>
          <w:sz w:val="30"/>
          <w:szCs w:val="30"/>
        </w:rPr>
        <w:t>比5.08%；金融期货手续费占比</w:t>
      </w:r>
      <w:r w:rsidRPr="00A06445">
        <w:rPr>
          <w:rFonts w:ascii="仿宋" w:eastAsia="仿宋" w:hAnsi="仿宋" w:cs="仿宋"/>
          <w:sz w:val="30"/>
          <w:szCs w:val="30"/>
        </w:rPr>
        <w:t>24.36</w:t>
      </w:r>
      <w:r w:rsidRPr="00A06445">
        <w:rPr>
          <w:rFonts w:ascii="仿宋" w:eastAsia="仿宋" w:hAnsi="仿宋" w:cs="仿宋" w:hint="eastAsia"/>
          <w:sz w:val="30"/>
          <w:szCs w:val="30"/>
        </w:rPr>
        <w:t>%，商品期货手续费占比</w:t>
      </w:r>
      <w:r w:rsidRPr="00A06445">
        <w:rPr>
          <w:rFonts w:ascii="仿宋" w:eastAsia="仿宋" w:hAnsi="仿宋" w:cs="仿宋"/>
          <w:sz w:val="30"/>
          <w:szCs w:val="30"/>
        </w:rPr>
        <w:t>75.64</w:t>
      </w:r>
      <w:r w:rsidRPr="00A06445">
        <w:rPr>
          <w:rFonts w:ascii="仿宋" w:eastAsia="仿宋" w:hAnsi="仿宋" w:cs="仿宋" w:hint="eastAsia"/>
          <w:sz w:val="30"/>
          <w:szCs w:val="30"/>
        </w:rPr>
        <w:t>%。</w:t>
      </w:r>
    </w:p>
    <w:p w:rsidR="005F0C65" w:rsidRPr="00A06445" w:rsidRDefault="00AA26BA" w:rsidP="00F33EA2">
      <w:pPr>
        <w:spacing w:line="360" w:lineRule="auto"/>
        <w:ind w:firstLine="601"/>
        <w:rPr>
          <w:rFonts w:ascii="仿宋" w:eastAsia="仿宋" w:hAnsi="仿宋"/>
          <w:color w:val="FF0000"/>
          <w:sz w:val="30"/>
          <w:szCs w:val="30"/>
        </w:rPr>
      </w:pPr>
      <w:r w:rsidRPr="00A06445">
        <w:rPr>
          <w:rFonts w:ascii="仿宋" w:eastAsia="仿宋" w:hAnsi="仿宋" w:hint="eastAsia"/>
          <w:bCs/>
          <w:sz w:val="30"/>
          <w:szCs w:val="30"/>
        </w:rPr>
        <w:t>2019年12月末，公司净资本</w:t>
      </w:r>
      <w:r w:rsidRPr="00A06445">
        <w:rPr>
          <w:rFonts w:ascii="仿宋" w:eastAsia="仿宋" w:hAnsi="仿宋" w:hint="eastAsia"/>
          <w:sz w:val="30"/>
          <w:szCs w:val="30"/>
        </w:rPr>
        <w:t>4</w:t>
      </w:r>
      <w:r w:rsidRPr="00A06445">
        <w:rPr>
          <w:rFonts w:ascii="仿宋" w:eastAsia="仿宋" w:hAnsi="仿宋"/>
          <w:sz w:val="30"/>
          <w:szCs w:val="30"/>
        </w:rPr>
        <w:t>.93</w:t>
      </w:r>
      <w:r w:rsidRPr="00A06445">
        <w:rPr>
          <w:rFonts w:ascii="仿宋" w:eastAsia="仿宋" w:hAnsi="仿宋" w:hint="eastAsia"/>
          <w:bCs/>
          <w:sz w:val="30"/>
          <w:szCs w:val="30"/>
        </w:rPr>
        <w:t>亿元，净资本与风险资本准</w:t>
      </w:r>
      <w:r w:rsidRPr="00A06445">
        <w:rPr>
          <w:rFonts w:ascii="仿宋" w:eastAsia="仿宋" w:hAnsi="仿宋" w:hint="eastAsia"/>
          <w:sz w:val="30"/>
          <w:szCs w:val="30"/>
        </w:rPr>
        <w:t>备的比例为2</w:t>
      </w:r>
      <w:r w:rsidRPr="00A06445">
        <w:rPr>
          <w:rFonts w:ascii="仿宋" w:eastAsia="仿宋" w:hAnsi="仿宋"/>
          <w:sz w:val="30"/>
          <w:szCs w:val="30"/>
        </w:rPr>
        <w:t>35</w:t>
      </w:r>
      <w:r w:rsidRPr="00A06445">
        <w:rPr>
          <w:rFonts w:ascii="仿宋" w:eastAsia="仿宋" w:hAnsi="仿宋" w:hint="eastAsia"/>
          <w:sz w:val="30"/>
          <w:szCs w:val="30"/>
        </w:rPr>
        <w:t>%，其</w:t>
      </w:r>
      <w:r w:rsidRPr="00A06445">
        <w:rPr>
          <w:rFonts w:ascii="仿宋" w:eastAsia="仿宋" w:hAnsi="仿宋" w:hint="eastAsia"/>
          <w:bCs/>
          <w:sz w:val="30"/>
          <w:szCs w:val="30"/>
        </w:rPr>
        <w:t>他各项风险指标均持续符合监管标准。公司各项风险监管指标如下：</w:t>
      </w:r>
    </w:p>
    <w:tbl>
      <w:tblPr>
        <w:tblW w:w="8359" w:type="dxa"/>
        <w:tblLayout w:type="fixed"/>
        <w:tblLook w:val="04A0"/>
      </w:tblPr>
      <w:tblGrid>
        <w:gridCol w:w="2971"/>
        <w:gridCol w:w="1003"/>
        <w:gridCol w:w="1101"/>
        <w:gridCol w:w="1161"/>
        <w:gridCol w:w="1081"/>
        <w:gridCol w:w="1042"/>
      </w:tblGrid>
      <w:tr w:rsidR="005F0C65" w:rsidTr="003E62B2">
        <w:trPr>
          <w:trHeight w:val="356"/>
        </w:trPr>
        <w:tc>
          <w:tcPr>
            <w:tcW w:w="2971" w:type="dxa"/>
            <w:tcBorders>
              <w:top w:val="single" w:sz="4" w:space="0" w:color="auto"/>
              <w:left w:val="single" w:sz="4" w:space="0" w:color="auto"/>
              <w:bottom w:val="nil"/>
              <w:right w:val="single" w:sz="4" w:space="0" w:color="auto"/>
            </w:tcBorders>
            <w:shd w:val="clear" w:color="auto" w:fill="DDDDDD"/>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指标名称</w:t>
            </w:r>
          </w:p>
        </w:tc>
        <w:tc>
          <w:tcPr>
            <w:tcW w:w="1003" w:type="dxa"/>
            <w:tcBorders>
              <w:top w:val="single" w:sz="4" w:space="0" w:color="auto"/>
              <w:left w:val="nil"/>
              <w:bottom w:val="nil"/>
              <w:right w:val="single" w:sz="4" w:space="0" w:color="auto"/>
            </w:tcBorders>
            <w:shd w:val="clear" w:color="auto" w:fill="DDDDDD"/>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2019年</w:t>
            </w:r>
          </w:p>
        </w:tc>
        <w:tc>
          <w:tcPr>
            <w:tcW w:w="1101" w:type="dxa"/>
            <w:tcBorders>
              <w:top w:val="single" w:sz="4" w:space="0" w:color="auto"/>
              <w:left w:val="nil"/>
              <w:bottom w:val="nil"/>
              <w:right w:val="single" w:sz="4" w:space="0" w:color="auto"/>
            </w:tcBorders>
            <w:shd w:val="clear" w:color="auto" w:fill="DDDDDD"/>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2018年</w:t>
            </w:r>
          </w:p>
        </w:tc>
        <w:tc>
          <w:tcPr>
            <w:tcW w:w="1161" w:type="dxa"/>
            <w:tcBorders>
              <w:top w:val="single" w:sz="4" w:space="0" w:color="auto"/>
              <w:left w:val="nil"/>
              <w:bottom w:val="nil"/>
              <w:right w:val="single" w:sz="4" w:space="0" w:color="auto"/>
            </w:tcBorders>
            <w:shd w:val="clear" w:color="auto" w:fill="DDDDDD"/>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变动比例</w:t>
            </w:r>
          </w:p>
        </w:tc>
        <w:tc>
          <w:tcPr>
            <w:tcW w:w="1081" w:type="dxa"/>
            <w:tcBorders>
              <w:top w:val="single" w:sz="4" w:space="0" w:color="auto"/>
              <w:left w:val="nil"/>
              <w:bottom w:val="nil"/>
              <w:right w:val="single" w:sz="4" w:space="0" w:color="auto"/>
            </w:tcBorders>
            <w:shd w:val="clear" w:color="auto" w:fill="DDDDDD"/>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监管标准</w:t>
            </w:r>
          </w:p>
        </w:tc>
        <w:tc>
          <w:tcPr>
            <w:tcW w:w="1042" w:type="dxa"/>
            <w:tcBorders>
              <w:top w:val="single" w:sz="4" w:space="0" w:color="auto"/>
              <w:left w:val="nil"/>
              <w:bottom w:val="nil"/>
              <w:right w:val="single" w:sz="4" w:space="0" w:color="auto"/>
            </w:tcBorders>
            <w:shd w:val="clear" w:color="auto" w:fill="DDDDDD"/>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预警标准</w:t>
            </w:r>
          </w:p>
        </w:tc>
      </w:tr>
      <w:tr w:rsidR="005F0C65" w:rsidTr="003E62B2">
        <w:trPr>
          <w:trHeight w:val="356"/>
        </w:trPr>
        <w:tc>
          <w:tcPr>
            <w:tcW w:w="2971" w:type="dxa"/>
            <w:tcBorders>
              <w:top w:val="single" w:sz="4" w:space="0" w:color="auto"/>
              <w:left w:val="single" w:sz="4" w:space="0" w:color="auto"/>
              <w:bottom w:val="nil"/>
              <w:right w:val="single" w:sz="4" w:space="0" w:color="auto"/>
            </w:tcBorders>
            <w:vAlign w:val="center"/>
          </w:tcPr>
          <w:p w:rsidR="005F0C65" w:rsidRDefault="00AA26BA">
            <w:pPr>
              <w:widowControl/>
              <w:jc w:val="left"/>
              <w:rPr>
                <w:rFonts w:ascii="宋体" w:hAnsi="宋体" w:cs="宋体"/>
                <w:kern w:val="0"/>
                <w:sz w:val="18"/>
                <w:szCs w:val="18"/>
              </w:rPr>
            </w:pPr>
            <w:r>
              <w:rPr>
                <w:rFonts w:ascii="宋体" w:hAnsi="宋体" w:cs="宋体" w:hint="eastAsia"/>
                <w:kern w:val="0"/>
                <w:sz w:val="18"/>
                <w:szCs w:val="18"/>
              </w:rPr>
              <w:t>净资本(万元)</w:t>
            </w:r>
          </w:p>
        </w:tc>
        <w:tc>
          <w:tcPr>
            <w:tcW w:w="1003" w:type="dxa"/>
            <w:tcBorders>
              <w:top w:val="single" w:sz="4" w:space="0" w:color="auto"/>
              <w:left w:val="nil"/>
              <w:bottom w:val="single" w:sz="4" w:space="0" w:color="auto"/>
              <w:right w:val="single" w:sz="4" w:space="0" w:color="auto"/>
            </w:tcBorders>
            <w:vAlign w:val="center"/>
          </w:tcPr>
          <w:p w:rsidR="005F0C65" w:rsidRDefault="00AA26BA">
            <w:pPr>
              <w:widowControl/>
              <w:jc w:val="center"/>
              <w:rPr>
                <w:rFonts w:ascii="宋体" w:hAnsi="宋体" w:cs="宋体"/>
                <w:kern w:val="0"/>
                <w:sz w:val="18"/>
                <w:szCs w:val="18"/>
              </w:rPr>
            </w:pPr>
            <w:r>
              <w:rPr>
                <w:rFonts w:ascii="宋体" w:hAnsi="宋体" w:cs="宋体" w:hint="eastAsia"/>
                <w:kern w:val="0"/>
                <w:sz w:val="18"/>
                <w:szCs w:val="18"/>
              </w:rPr>
              <w:t>49,264</w:t>
            </w:r>
          </w:p>
        </w:tc>
        <w:tc>
          <w:tcPr>
            <w:tcW w:w="1101" w:type="dxa"/>
            <w:tcBorders>
              <w:top w:val="single" w:sz="4" w:space="0" w:color="auto"/>
              <w:left w:val="nil"/>
              <w:bottom w:val="single" w:sz="4" w:space="0" w:color="auto"/>
              <w:right w:val="single" w:sz="4" w:space="0" w:color="auto"/>
            </w:tcBorders>
            <w:vAlign w:val="center"/>
          </w:tcPr>
          <w:p w:rsidR="005F0C65" w:rsidRDefault="00AA26BA">
            <w:pPr>
              <w:widowControl/>
              <w:jc w:val="center"/>
              <w:rPr>
                <w:rFonts w:ascii="宋体" w:hAnsi="宋体" w:cs="宋体"/>
                <w:kern w:val="0"/>
                <w:sz w:val="18"/>
                <w:szCs w:val="18"/>
              </w:rPr>
            </w:pPr>
            <w:r>
              <w:rPr>
                <w:rFonts w:ascii="宋体" w:hAnsi="宋体" w:cs="宋体" w:hint="eastAsia"/>
                <w:kern w:val="0"/>
                <w:sz w:val="18"/>
                <w:szCs w:val="18"/>
              </w:rPr>
              <w:t>46,002</w:t>
            </w:r>
          </w:p>
        </w:tc>
        <w:tc>
          <w:tcPr>
            <w:tcW w:w="1161" w:type="dxa"/>
            <w:tcBorders>
              <w:top w:val="single" w:sz="4" w:space="0" w:color="auto"/>
              <w:left w:val="nil"/>
              <w:bottom w:val="single" w:sz="4" w:space="0" w:color="auto"/>
              <w:right w:val="single" w:sz="4" w:space="0" w:color="auto"/>
            </w:tcBorders>
            <w:vAlign w:val="center"/>
          </w:tcPr>
          <w:p w:rsidR="005F0C65" w:rsidRDefault="00AA26BA">
            <w:pPr>
              <w:widowControl/>
              <w:jc w:val="center"/>
              <w:rPr>
                <w:rFonts w:ascii="宋体" w:hAnsi="宋体" w:cs="宋体"/>
                <w:kern w:val="0"/>
                <w:sz w:val="18"/>
                <w:szCs w:val="18"/>
              </w:rPr>
            </w:pPr>
            <w:r>
              <w:rPr>
                <w:rFonts w:ascii="宋体" w:hAnsi="宋体" w:cs="宋体" w:hint="eastAsia"/>
                <w:kern w:val="0"/>
                <w:sz w:val="18"/>
                <w:szCs w:val="18"/>
              </w:rPr>
              <w:t>7%</w:t>
            </w:r>
          </w:p>
        </w:tc>
        <w:tc>
          <w:tcPr>
            <w:tcW w:w="1081" w:type="dxa"/>
            <w:tcBorders>
              <w:top w:val="single" w:sz="4" w:space="0" w:color="auto"/>
              <w:left w:val="nil"/>
              <w:bottom w:val="single" w:sz="4" w:space="0" w:color="auto"/>
              <w:right w:val="single" w:sz="4" w:space="0" w:color="auto"/>
            </w:tcBorders>
            <w:vAlign w:val="center"/>
          </w:tcPr>
          <w:p w:rsidR="005F0C65" w:rsidRDefault="00AA26BA">
            <w:pPr>
              <w:widowControl/>
              <w:jc w:val="center"/>
              <w:rPr>
                <w:rFonts w:ascii="宋体" w:hAnsi="宋体" w:cs="宋体"/>
                <w:kern w:val="0"/>
                <w:sz w:val="18"/>
                <w:szCs w:val="18"/>
              </w:rPr>
            </w:pPr>
            <w:r>
              <w:rPr>
                <w:rFonts w:ascii="宋体" w:hAnsi="宋体" w:cs="宋体" w:hint="eastAsia"/>
                <w:kern w:val="0"/>
                <w:sz w:val="18"/>
                <w:szCs w:val="18"/>
              </w:rPr>
              <w:t>1,500</w:t>
            </w:r>
          </w:p>
        </w:tc>
        <w:tc>
          <w:tcPr>
            <w:tcW w:w="1042" w:type="dxa"/>
            <w:tcBorders>
              <w:top w:val="single" w:sz="4" w:space="0" w:color="auto"/>
              <w:left w:val="nil"/>
              <w:bottom w:val="single" w:sz="4" w:space="0" w:color="auto"/>
              <w:right w:val="single" w:sz="4" w:space="0" w:color="auto"/>
            </w:tcBorders>
            <w:vAlign w:val="center"/>
          </w:tcPr>
          <w:p w:rsidR="005F0C65" w:rsidRDefault="00AA26BA">
            <w:pPr>
              <w:widowControl/>
              <w:jc w:val="center"/>
              <w:rPr>
                <w:rFonts w:ascii="宋体" w:hAnsi="宋体" w:cs="宋体"/>
                <w:kern w:val="0"/>
                <w:sz w:val="18"/>
                <w:szCs w:val="18"/>
              </w:rPr>
            </w:pPr>
            <w:r>
              <w:rPr>
                <w:rFonts w:ascii="宋体" w:hAnsi="宋体" w:cs="宋体" w:hint="eastAsia"/>
                <w:kern w:val="0"/>
                <w:sz w:val="18"/>
                <w:szCs w:val="18"/>
              </w:rPr>
              <w:t>1,800</w:t>
            </w:r>
          </w:p>
        </w:tc>
      </w:tr>
      <w:tr w:rsidR="005F0C65"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DDDDDD"/>
            <w:vAlign w:val="center"/>
          </w:tcPr>
          <w:p w:rsidR="005F0C65" w:rsidRPr="003E62B2" w:rsidRDefault="00AA26BA">
            <w:pPr>
              <w:widowControl/>
              <w:jc w:val="left"/>
              <w:rPr>
                <w:rFonts w:ascii="宋体" w:hAnsi="宋体" w:cs="宋体"/>
                <w:kern w:val="0"/>
                <w:sz w:val="18"/>
                <w:szCs w:val="18"/>
              </w:rPr>
            </w:pPr>
            <w:r w:rsidRPr="003E62B2">
              <w:rPr>
                <w:rFonts w:ascii="宋体" w:hAnsi="宋体" w:cs="宋体" w:hint="eastAsia"/>
                <w:kern w:val="0"/>
                <w:sz w:val="18"/>
                <w:szCs w:val="18"/>
              </w:rPr>
              <w:t>风险资本准备总额(万元)</w:t>
            </w:r>
          </w:p>
        </w:tc>
        <w:tc>
          <w:tcPr>
            <w:tcW w:w="1003" w:type="dxa"/>
            <w:tcBorders>
              <w:top w:val="nil"/>
              <w:left w:val="nil"/>
              <w:bottom w:val="single" w:sz="4" w:space="0" w:color="auto"/>
              <w:right w:val="single" w:sz="4" w:space="0" w:color="auto"/>
            </w:tcBorders>
            <w:shd w:val="clear" w:color="auto" w:fill="DDDDDD"/>
            <w:vAlign w:val="center"/>
          </w:tcPr>
          <w:p w:rsidR="005F0C65" w:rsidRPr="003E62B2" w:rsidRDefault="00AA26BA">
            <w:pPr>
              <w:widowControl/>
              <w:jc w:val="center"/>
              <w:rPr>
                <w:rFonts w:ascii="宋体" w:hAnsi="宋体" w:cs="宋体"/>
                <w:kern w:val="0"/>
                <w:sz w:val="18"/>
                <w:szCs w:val="18"/>
              </w:rPr>
            </w:pPr>
            <w:r w:rsidRPr="003E62B2">
              <w:rPr>
                <w:rFonts w:ascii="宋体" w:hAnsi="宋体" w:cs="宋体" w:hint="eastAsia"/>
                <w:kern w:val="0"/>
                <w:sz w:val="18"/>
                <w:szCs w:val="18"/>
              </w:rPr>
              <w:t>20,986</w:t>
            </w:r>
          </w:p>
        </w:tc>
        <w:tc>
          <w:tcPr>
            <w:tcW w:w="1101" w:type="dxa"/>
            <w:tcBorders>
              <w:top w:val="nil"/>
              <w:left w:val="nil"/>
              <w:bottom w:val="single" w:sz="4" w:space="0" w:color="auto"/>
              <w:right w:val="single" w:sz="4" w:space="0" w:color="auto"/>
            </w:tcBorders>
            <w:shd w:val="clear" w:color="auto" w:fill="DDDDDD"/>
            <w:vAlign w:val="center"/>
          </w:tcPr>
          <w:p w:rsidR="005F0C65" w:rsidRPr="003E62B2" w:rsidRDefault="00AA26BA">
            <w:pPr>
              <w:widowControl/>
              <w:jc w:val="center"/>
              <w:rPr>
                <w:rFonts w:ascii="宋体" w:hAnsi="宋体" w:cs="宋体"/>
                <w:kern w:val="0"/>
                <w:sz w:val="18"/>
                <w:szCs w:val="18"/>
              </w:rPr>
            </w:pPr>
            <w:r w:rsidRPr="003E62B2">
              <w:rPr>
                <w:rFonts w:ascii="宋体" w:hAnsi="宋体" w:cs="宋体" w:hint="eastAsia"/>
                <w:kern w:val="0"/>
                <w:sz w:val="18"/>
                <w:szCs w:val="18"/>
              </w:rPr>
              <w:t>21,280</w:t>
            </w:r>
          </w:p>
        </w:tc>
        <w:tc>
          <w:tcPr>
            <w:tcW w:w="1161" w:type="dxa"/>
            <w:tcBorders>
              <w:top w:val="nil"/>
              <w:left w:val="nil"/>
              <w:bottom w:val="single" w:sz="4" w:space="0" w:color="auto"/>
              <w:right w:val="single" w:sz="4" w:space="0" w:color="auto"/>
            </w:tcBorders>
            <w:shd w:val="clear" w:color="auto" w:fill="DDDDDD"/>
            <w:vAlign w:val="center"/>
          </w:tcPr>
          <w:p w:rsidR="005F0C65" w:rsidRPr="003E62B2" w:rsidRDefault="00AA26BA">
            <w:pPr>
              <w:widowControl/>
              <w:jc w:val="center"/>
              <w:rPr>
                <w:rFonts w:ascii="宋体" w:hAnsi="宋体" w:cs="宋体"/>
                <w:kern w:val="0"/>
                <w:sz w:val="18"/>
                <w:szCs w:val="18"/>
              </w:rPr>
            </w:pPr>
            <w:r w:rsidRPr="003E62B2">
              <w:rPr>
                <w:rFonts w:ascii="宋体" w:hAnsi="宋体" w:cs="宋体" w:hint="eastAsia"/>
                <w:kern w:val="0"/>
                <w:sz w:val="18"/>
                <w:szCs w:val="18"/>
              </w:rPr>
              <w:t>-1%</w:t>
            </w:r>
          </w:p>
        </w:tc>
        <w:tc>
          <w:tcPr>
            <w:tcW w:w="1081" w:type="dxa"/>
            <w:tcBorders>
              <w:top w:val="nil"/>
              <w:left w:val="nil"/>
              <w:bottom w:val="single" w:sz="4" w:space="0" w:color="auto"/>
              <w:right w:val="single" w:sz="4" w:space="0" w:color="auto"/>
              <w:tl2br w:val="single" w:sz="4" w:space="0" w:color="auto"/>
            </w:tcBorders>
            <w:shd w:val="clear" w:color="auto" w:fill="DDDDDD"/>
            <w:vAlign w:val="center"/>
          </w:tcPr>
          <w:p w:rsidR="005F0C65" w:rsidRPr="003E62B2" w:rsidRDefault="00AA26BA">
            <w:pPr>
              <w:widowControl/>
              <w:jc w:val="center"/>
              <w:rPr>
                <w:rFonts w:ascii="宋体" w:hAnsi="宋体" w:cs="宋体"/>
                <w:kern w:val="0"/>
                <w:sz w:val="18"/>
                <w:szCs w:val="18"/>
              </w:rPr>
            </w:pPr>
            <w:r w:rsidRPr="003E62B2">
              <w:rPr>
                <w:rFonts w:ascii="宋体" w:hAnsi="宋体" w:cs="宋体" w:hint="eastAsia"/>
                <w:kern w:val="0"/>
                <w:sz w:val="18"/>
                <w:szCs w:val="18"/>
              </w:rPr>
              <w:t xml:space="preserve">　</w:t>
            </w:r>
          </w:p>
        </w:tc>
        <w:tc>
          <w:tcPr>
            <w:tcW w:w="1042" w:type="dxa"/>
            <w:tcBorders>
              <w:top w:val="nil"/>
              <w:left w:val="nil"/>
              <w:bottom w:val="single" w:sz="4" w:space="0" w:color="auto"/>
              <w:right w:val="single" w:sz="4" w:space="0" w:color="auto"/>
              <w:tl2br w:val="single" w:sz="4" w:space="0" w:color="auto"/>
            </w:tcBorders>
            <w:shd w:val="clear" w:color="auto" w:fill="DDDDDD"/>
            <w:vAlign w:val="center"/>
          </w:tcPr>
          <w:p w:rsidR="005F0C65" w:rsidRPr="003E62B2" w:rsidRDefault="00AA26BA">
            <w:pPr>
              <w:widowControl/>
              <w:jc w:val="center"/>
              <w:rPr>
                <w:rFonts w:ascii="宋体" w:hAnsi="宋体" w:cs="宋体"/>
                <w:kern w:val="0"/>
                <w:sz w:val="18"/>
                <w:szCs w:val="18"/>
              </w:rPr>
            </w:pPr>
            <w:r w:rsidRPr="003E62B2">
              <w:rPr>
                <w:rFonts w:ascii="宋体" w:hAnsi="宋体" w:cs="宋体" w:hint="eastAsia"/>
                <w:kern w:val="0"/>
                <w:sz w:val="18"/>
                <w:szCs w:val="18"/>
              </w:rPr>
              <w:t xml:space="preserve">　</w:t>
            </w:r>
          </w:p>
        </w:tc>
      </w:tr>
      <w:tr w:rsidR="005F0C65"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5F0C65" w:rsidRDefault="00AA26BA">
            <w:pPr>
              <w:widowControl/>
              <w:jc w:val="left"/>
              <w:rPr>
                <w:rFonts w:ascii="宋体" w:hAnsi="宋体" w:cs="宋体"/>
                <w:kern w:val="0"/>
                <w:sz w:val="18"/>
                <w:szCs w:val="18"/>
              </w:rPr>
            </w:pPr>
            <w:r>
              <w:rPr>
                <w:rFonts w:ascii="宋体" w:hAnsi="宋体" w:cs="宋体" w:hint="eastAsia"/>
                <w:kern w:val="0"/>
                <w:sz w:val="18"/>
                <w:szCs w:val="18"/>
              </w:rPr>
              <w:t>净资本与风险资本准备总额的比例</w:t>
            </w:r>
          </w:p>
        </w:tc>
        <w:tc>
          <w:tcPr>
            <w:tcW w:w="1003" w:type="dxa"/>
            <w:tcBorders>
              <w:top w:val="nil"/>
              <w:left w:val="nil"/>
              <w:bottom w:val="single" w:sz="4" w:space="0" w:color="auto"/>
              <w:right w:val="single" w:sz="4" w:space="0" w:color="auto"/>
            </w:tcBorders>
            <w:shd w:val="clear" w:color="auto" w:fill="auto"/>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235%</w:t>
            </w:r>
          </w:p>
        </w:tc>
        <w:tc>
          <w:tcPr>
            <w:tcW w:w="1101" w:type="dxa"/>
            <w:tcBorders>
              <w:top w:val="nil"/>
              <w:left w:val="nil"/>
              <w:bottom w:val="single" w:sz="4" w:space="0" w:color="auto"/>
              <w:right w:val="single" w:sz="4" w:space="0" w:color="auto"/>
            </w:tcBorders>
            <w:shd w:val="clear" w:color="auto" w:fill="auto"/>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216%</w:t>
            </w:r>
          </w:p>
        </w:tc>
        <w:tc>
          <w:tcPr>
            <w:tcW w:w="1161" w:type="dxa"/>
            <w:tcBorders>
              <w:top w:val="nil"/>
              <w:left w:val="nil"/>
              <w:bottom w:val="single" w:sz="4" w:space="0" w:color="auto"/>
              <w:right w:val="single" w:sz="4" w:space="0" w:color="auto"/>
            </w:tcBorders>
            <w:shd w:val="clear" w:color="auto" w:fill="auto"/>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9%</w:t>
            </w:r>
          </w:p>
        </w:tc>
        <w:tc>
          <w:tcPr>
            <w:tcW w:w="1081" w:type="dxa"/>
            <w:tcBorders>
              <w:top w:val="nil"/>
              <w:left w:val="nil"/>
              <w:bottom w:val="single" w:sz="4" w:space="0" w:color="auto"/>
              <w:right w:val="single" w:sz="4" w:space="0" w:color="auto"/>
            </w:tcBorders>
            <w:shd w:val="clear" w:color="auto" w:fill="auto"/>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100%</w:t>
            </w:r>
          </w:p>
        </w:tc>
        <w:tc>
          <w:tcPr>
            <w:tcW w:w="1042" w:type="dxa"/>
            <w:tcBorders>
              <w:top w:val="nil"/>
              <w:left w:val="nil"/>
              <w:bottom w:val="single" w:sz="4" w:space="0" w:color="auto"/>
              <w:right w:val="single" w:sz="4" w:space="0" w:color="auto"/>
            </w:tcBorders>
            <w:shd w:val="clear" w:color="auto" w:fill="auto"/>
            <w:vAlign w:val="center"/>
          </w:tcPr>
          <w:p w:rsidR="005F0C65" w:rsidRDefault="00AA26BA">
            <w:pPr>
              <w:widowControl/>
              <w:jc w:val="center"/>
              <w:rPr>
                <w:rFonts w:ascii="宋体" w:hAnsi="宋体" w:cs="宋体"/>
                <w:b/>
                <w:bCs/>
                <w:kern w:val="0"/>
                <w:sz w:val="18"/>
                <w:szCs w:val="18"/>
              </w:rPr>
            </w:pPr>
            <w:r>
              <w:rPr>
                <w:rFonts w:ascii="宋体" w:hAnsi="宋体" w:cs="宋体" w:hint="eastAsia"/>
                <w:b/>
                <w:bCs/>
                <w:kern w:val="0"/>
                <w:sz w:val="18"/>
                <w:szCs w:val="18"/>
              </w:rPr>
              <w:t>120%</w:t>
            </w:r>
          </w:p>
        </w:tc>
      </w:tr>
      <w:tr w:rsidR="003E62B2"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DDDDDD"/>
            <w:vAlign w:val="center"/>
          </w:tcPr>
          <w:p w:rsidR="003E62B2" w:rsidRDefault="003E62B2" w:rsidP="003E62B2">
            <w:pPr>
              <w:widowControl/>
              <w:jc w:val="left"/>
              <w:rPr>
                <w:rFonts w:ascii="宋体" w:hAnsi="宋体" w:cs="宋体"/>
                <w:kern w:val="0"/>
                <w:sz w:val="18"/>
                <w:szCs w:val="18"/>
              </w:rPr>
            </w:pPr>
            <w:r>
              <w:rPr>
                <w:rFonts w:ascii="宋体" w:hAnsi="宋体" w:cs="宋体" w:hint="eastAsia"/>
                <w:kern w:val="0"/>
                <w:sz w:val="18"/>
                <w:szCs w:val="18"/>
              </w:rPr>
              <w:t>净资产(万元）</w:t>
            </w:r>
          </w:p>
        </w:tc>
        <w:tc>
          <w:tcPr>
            <w:tcW w:w="1003"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51,194</w:t>
            </w:r>
          </w:p>
        </w:tc>
        <w:tc>
          <w:tcPr>
            <w:tcW w:w="110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48,200</w:t>
            </w:r>
          </w:p>
        </w:tc>
        <w:tc>
          <w:tcPr>
            <w:tcW w:w="116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6%</w:t>
            </w:r>
          </w:p>
        </w:tc>
        <w:tc>
          <w:tcPr>
            <w:tcW w:w="108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1042"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 xml:space="preserve">　</w:t>
            </w:r>
          </w:p>
        </w:tc>
      </w:tr>
      <w:tr w:rsidR="003E62B2"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3E62B2" w:rsidRDefault="003E62B2" w:rsidP="003E62B2">
            <w:pPr>
              <w:widowControl/>
              <w:jc w:val="left"/>
              <w:rPr>
                <w:rFonts w:ascii="宋体" w:hAnsi="宋体" w:cs="宋体"/>
                <w:kern w:val="0"/>
                <w:sz w:val="18"/>
                <w:szCs w:val="18"/>
              </w:rPr>
            </w:pPr>
            <w:r>
              <w:rPr>
                <w:rFonts w:ascii="宋体" w:hAnsi="宋体" w:cs="宋体" w:hint="eastAsia"/>
                <w:kern w:val="0"/>
                <w:sz w:val="18"/>
                <w:szCs w:val="18"/>
              </w:rPr>
              <w:t>净资本与净资产的比例</w:t>
            </w:r>
          </w:p>
        </w:tc>
        <w:tc>
          <w:tcPr>
            <w:tcW w:w="1003"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96%</w:t>
            </w:r>
          </w:p>
        </w:tc>
        <w:tc>
          <w:tcPr>
            <w:tcW w:w="110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95%</w:t>
            </w:r>
          </w:p>
        </w:tc>
        <w:tc>
          <w:tcPr>
            <w:tcW w:w="116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108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40%</w:t>
            </w:r>
          </w:p>
        </w:tc>
        <w:tc>
          <w:tcPr>
            <w:tcW w:w="1042"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48%</w:t>
            </w:r>
          </w:p>
        </w:tc>
      </w:tr>
      <w:tr w:rsidR="003E62B2"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DDDDDD"/>
            <w:vAlign w:val="center"/>
          </w:tcPr>
          <w:p w:rsidR="003E62B2" w:rsidRDefault="003E62B2" w:rsidP="003E62B2">
            <w:pPr>
              <w:widowControl/>
              <w:jc w:val="left"/>
              <w:rPr>
                <w:rFonts w:ascii="宋体" w:hAnsi="宋体" w:cs="宋体"/>
                <w:kern w:val="0"/>
                <w:sz w:val="18"/>
                <w:szCs w:val="18"/>
              </w:rPr>
            </w:pPr>
            <w:r>
              <w:rPr>
                <w:rFonts w:ascii="宋体" w:hAnsi="宋体" w:cs="宋体" w:hint="eastAsia"/>
                <w:kern w:val="0"/>
                <w:sz w:val="18"/>
                <w:szCs w:val="18"/>
              </w:rPr>
              <w:t>扣除客户保证金的流动资产（万元）</w:t>
            </w:r>
          </w:p>
        </w:tc>
        <w:tc>
          <w:tcPr>
            <w:tcW w:w="1003"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55,169</w:t>
            </w:r>
          </w:p>
        </w:tc>
        <w:tc>
          <w:tcPr>
            <w:tcW w:w="110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53,069</w:t>
            </w:r>
          </w:p>
        </w:tc>
        <w:tc>
          <w:tcPr>
            <w:tcW w:w="116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4%</w:t>
            </w:r>
          </w:p>
        </w:tc>
        <w:tc>
          <w:tcPr>
            <w:tcW w:w="108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1042"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 xml:space="preserve">　</w:t>
            </w:r>
          </w:p>
        </w:tc>
      </w:tr>
      <w:tr w:rsidR="003E62B2"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DDDDDD"/>
            <w:vAlign w:val="center"/>
          </w:tcPr>
          <w:p w:rsidR="003E62B2" w:rsidRDefault="003E62B2" w:rsidP="003E62B2">
            <w:pPr>
              <w:widowControl/>
              <w:jc w:val="left"/>
              <w:rPr>
                <w:rFonts w:ascii="宋体" w:hAnsi="宋体" w:cs="宋体"/>
                <w:kern w:val="0"/>
                <w:sz w:val="18"/>
                <w:szCs w:val="18"/>
              </w:rPr>
            </w:pPr>
            <w:r>
              <w:rPr>
                <w:rFonts w:ascii="宋体" w:hAnsi="宋体" w:cs="宋体" w:hint="eastAsia"/>
                <w:kern w:val="0"/>
                <w:sz w:val="18"/>
                <w:szCs w:val="18"/>
              </w:rPr>
              <w:t>扣除客户权益的流动负债（万元）</w:t>
            </w:r>
          </w:p>
        </w:tc>
        <w:tc>
          <w:tcPr>
            <w:tcW w:w="1003"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6,678</w:t>
            </w:r>
          </w:p>
        </w:tc>
        <w:tc>
          <w:tcPr>
            <w:tcW w:w="110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8,806</w:t>
            </w:r>
          </w:p>
        </w:tc>
        <w:tc>
          <w:tcPr>
            <w:tcW w:w="116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-24%</w:t>
            </w:r>
          </w:p>
        </w:tc>
        <w:tc>
          <w:tcPr>
            <w:tcW w:w="108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1042"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 xml:space="preserve">　</w:t>
            </w:r>
          </w:p>
        </w:tc>
      </w:tr>
      <w:tr w:rsidR="003E62B2"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3E62B2" w:rsidRDefault="003E62B2" w:rsidP="003E62B2">
            <w:pPr>
              <w:widowControl/>
              <w:jc w:val="left"/>
              <w:rPr>
                <w:rFonts w:ascii="宋体" w:hAnsi="宋体" w:cs="宋体"/>
                <w:kern w:val="0"/>
                <w:sz w:val="18"/>
                <w:szCs w:val="18"/>
              </w:rPr>
            </w:pPr>
            <w:r>
              <w:rPr>
                <w:rFonts w:ascii="宋体" w:hAnsi="宋体" w:cs="宋体" w:hint="eastAsia"/>
                <w:kern w:val="0"/>
                <w:sz w:val="18"/>
                <w:szCs w:val="18"/>
              </w:rPr>
              <w:t>流动资产与流动负债的比例</w:t>
            </w:r>
          </w:p>
        </w:tc>
        <w:tc>
          <w:tcPr>
            <w:tcW w:w="1003"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826%</w:t>
            </w:r>
          </w:p>
        </w:tc>
        <w:tc>
          <w:tcPr>
            <w:tcW w:w="110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603%</w:t>
            </w:r>
          </w:p>
        </w:tc>
        <w:tc>
          <w:tcPr>
            <w:tcW w:w="116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37%</w:t>
            </w:r>
          </w:p>
        </w:tc>
        <w:tc>
          <w:tcPr>
            <w:tcW w:w="108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100%</w:t>
            </w:r>
          </w:p>
        </w:tc>
        <w:tc>
          <w:tcPr>
            <w:tcW w:w="1042"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120%</w:t>
            </w:r>
          </w:p>
        </w:tc>
      </w:tr>
      <w:tr w:rsidR="003E62B2"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DDDDDD"/>
            <w:vAlign w:val="center"/>
          </w:tcPr>
          <w:p w:rsidR="003E62B2" w:rsidRPr="003E62B2" w:rsidRDefault="003E62B2" w:rsidP="003E62B2">
            <w:pPr>
              <w:widowControl/>
              <w:jc w:val="left"/>
              <w:rPr>
                <w:rFonts w:ascii="宋体" w:hAnsi="宋体" w:cs="宋体"/>
                <w:kern w:val="0"/>
                <w:sz w:val="18"/>
                <w:szCs w:val="18"/>
              </w:rPr>
            </w:pPr>
            <w:r w:rsidRPr="003E62B2">
              <w:rPr>
                <w:rFonts w:ascii="宋体" w:hAnsi="宋体" w:cs="宋体" w:hint="eastAsia"/>
                <w:kern w:val="0"/>
                <w:sz w:val="18"/>
                <w:szCs w:val="18"/>
              </w:rPr>
              <w:t>负债（扣除客户权益）（万元）</w:t>
            </w:r>
          </w:p>
        </w:tc>
        <w:tc>
          <w:tcPr>
            <w:tcW w:w="1003" w:type="dxa"/>
            <w:tcBorders>
              <w:top w:val="nil"/>
              <w:left w:val="nil"/>
              <w:bottom w:val="single" w:sz="4" w:space="0" w:color="auto"/>
              <w:right w:val="single" w:sz="4" w:space="0" w:color="auto"/>
            </w:tcBorders>
            <w:shd w:val="clear" w:color="auto" w:fill="DDDDDD"/>
            <w:vAlign w:val="center"/>
          </w:tcPr>
          <w:p w:rsidR="003E62B2" w:rsidRPr="003E62B2" w:rsidRDefault="003E62B2" w:rsidP="003E62B2">
            <w:pPr>
              <w:widowControl/>
              <w:jc w:val="center"/>
              <w:rPr>
                <w:rFonts w:ascii="宋体" w:hAnsi="宋体" w:cs="宋体"/>
                <w:kern w:val="0"/>
                <w:sz w:val="18"/>
                <w:szCs w:val="18"/>
              </w:rPr>
            </w:pPr>
            <w:r w:rsidRPr="003E62B2">
              <w:rPr>
                <w:rFonts w:ascii="宋体" w:hAnsi="宋体" w:cs="宋体" w:hint="eastAsia"/>
                <w:kern w:val="0"/>
                <w:sz w:val="18"/>
                <w:szCs w:val="18"/>
              </w:rPr>
              <w:t>6,678</w:t>
            </w:r>
          </w:p>
        </w:tc>
        <w:tc>
          <w:tcPr>
            <w:tcW w:w="1101" w:type="dxa"/>
            <w:tcBorders>
              <w:top w:val="nil"/>
              <w:left w:val="nil"/>
              <w:bottom w:val="single" w:sz="4" w:space="0" w:color="auto"/>
              <w:right w:val="single" w:sz="4" w:space="0" w:color="auto"/>
            </w:tcBorders>
            <w:shd w:val="clear" w:color="auto" w:fill="DDDDDD"/>
            <w:vAlign w:val="center"/>
          </w:tcPr>
          <w:p w:rsidR="003E62B2" w:rsidRPr="003E62B2" w:rsidRDefault="003E62B2" w:rsidP="003E62B2">
            <w:pPr>
              <w:widowControl/>
              <w:jc w:val="center"/>
              <w:rPr>
                <w:rFonts w:ascii="宋体" w:hAnsi="宋体" w:cs="宋体"/>
                <w:kern w:val="0"/>
                <w:sz w:val="18"/>
                <w:szCs w:val="18"/>
              </w:rPr>
            </w:pPr>
            <w:r w:rsidRPr="003E62B2">
              <w:rPr>
                <w:rFonts w:ascii="宋体" w:hAnsi="宋体" w:cs="宋体" w:hint="eastAsia"/>
                <w:kern w:val="0"/>
                <w:sz w:val="18"/>
                <w:szCs w:val="18"/>
              </w:rPr>
              <w:t>8,806</w:t>
            </w:r>
          </w:p>
        </w:tc>
        <w:tc>
          <w:tcPr>
            <w:tcW w:w="1161" w:type="dxa"/>
            <w:tcBorders>
              <w:top w:val="nil"/>
              <w:left w:val="nil"/>
              <w:bottom w:val="single" w:sz="4" w:space="0" w:color="auto"/>
              <w:right w:val="single" w:sz="4" w:space="0" w:color="auto"/>
            </w:tcBorders>
            <w:shd w:val="clear" w:color="auto" w:fill="DDDDDD"/>
            <w:vAlign w:val="center"/>
          </w:tcPr>
          <w:p w:rsidR="003E62B2" w:rsidRPr="003E62B2" w:rsidRDefault="003E62B2" w:rsidP="003E62B2">
            <w:pPr>
              <w:widowControl/>
              <w:jc w:val="center"/>
              <w:rPr>
                <w:rFonts w:ascii="宋体" w:hAnsi="宋体" w:cs="宋体"/>
                <w:kern w:val="0"/>
                <w:sz w:val="18"/>
                <w:szCs w:val="18"/>
              </w:rPr>
            </w:pPr>
            <w:r w:rsidRPr="003E62B2">
              <w:rPr>
                <w:rFonts w:ascii="宋体" w:hAnsi="宋体" w:cs="宋体" w:hint="eastAsia"/>
                <w:kern w:val="0"/>
                <w:sz w:val="18"/>
                <w:szCs w:val="18"/>
              </w:rPr>
              <w:t>-24%</w:t>
            </w:r>
          </w:p>
        </w:tc>
        <w:tc>
          <w:tcPr>
            <w:tcW w:w="1081" w:type="dxa"/>
            <w:tcBorders>
              <w:top w:val="nil"/>
              <w:left w:val="nil"/>
              <w:bottom w:val="single" w:sz="4" w:space="0" w:color="auto"/>
              <w:right w:val="single" w:sz="4" w:space="0" w:color="auto"/>
            </w:tcBorders>
            <w:shd w:val="clear" w:color="auto" w:fill="DDDDDD"/>
            <w:vAlign w:val="center"/>
          </w:tcPr>
          <w:p w:rsidR="003E62B2" w:rsidRPr="003E62B2" w:rsidRDefault="003E62B2" w:rsidP="003E62B2">
            <w:pPr>
              <w:widowControl/>
              <w:jc w:val="center"/>
              <w:rPr>
                <w:rFonts w:ascii="宋体" w:hAnsi="宋体" w:cs="宋体"/>
                <w:kern w:val="0"/>
                <w:sz w:val="18"/>
                <w:szCs w:val="18"/>
              </w:rPr>
            </w:pPr>
            <w:r w:rsidRPr="003E62B2">
              <w:rPr>
                <w:rFonts w:ascii="宋体" w:hAnsi="宋体" w:cs="宋体" w:hint="eastAsia"/>
                <w:kern w:val="0"/>
                <w:sz w:val="18"/>
                <w:szCs w:val="18"/>
              </w:rPr>
              <w:t xml:space="preserve">　</w:t>
            </w:r>
          </w:p>
        </w:tc>
        <w:tc>
          <w:tcPr>
            <w:tcW w:w="1042" w:type="dxa"/>
            <w:tcBorders>
              <w:top w:val="nil"/>
              <w:left w:val="nil"/>
              <w:bottom w:val="single" w:sz="4" w:space="0" w:color="auto"/>
              <w:right w:val="single" w:sz="4" w:space="0" w:color="auto"/>
            </w:tcBorders>
            <w:shd w:val="clear" w:color="auto" w:fill="DDDDDD"/>
            <w:vAlign w:val="center"/>
          </w:tcPr>
          <w:p w:rsidR="003E62B2" w:rsidRPr="003E62B2" w:rsidRDefault="003E62B2" w:rsidP="003E62B2">
            <w:pPr>
              <w:widowControl/>
              <w:jc w:val="center"/>
              <w:rPr>
                <w:rFonts w:ascii="宋体" w:hAnsi="宋体" w:cs="宋体"/>
                <w:kern w:val="0"/>
                <w:sz w:val="18"/>
                <w:szCs w:val="18"/>
              </w:rPr>
            </w:pPr>
            <w:r w:rsidRPr="003E62B2">
              <w:rPr>
                <w:rFonts w:ascii="宋体" w:hAnsi="宋体" w:cs="宋体" w:hint="eastAsia"/>
                <w:kern w:val="0"/>
                <w:sz w:val="18"/>
                <w:szCs w:val="18"/>
              </w:rPr>
              <w:t xml:space="preserve">　</w:t>
            </w:r>
          </w:p>
        </w:tc>
      </w:tr>
      <w:tr w:rsidR="003E62B2"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3E62B2" w:rsidRDefault="003E62B2" w:rsidP="003E62B2">
            <w:pPr>
              <w:widowControl/>
              <w:jc w:val="left"/>
              <w:rPr>
                <w:rFonts w:ascii="宋体" w:hAnsi="宋体" w:cs="宋体"/>
                <w:kern w:val="0"/>
                <w:sz w:val="18"/>
                <w:szCs w:val="18"/>
              </w:rPr>
            </w:pPr>
            <w:r>
              <w:rPr>
                <w:rFonts w:ascii="宋体" w:hAnsi="宋体" w:cs="宋体" w:hint="eastAsia"/>
                <w:kern w:val="0"/>
                <w:sz w:val="18"/>
                <w:szCs w:val="18"/>
              </w:rPr>
              <w:t>负债与净资产的比例</w:t>
            </w:r>
          </w:p>
        </w:tc>
        <w:tc>
          <w:tcPr>
            <w:tcW w:w="1003"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13%</w:t>
            </w:r>
          </w:p>
        </w:tc>
        <w:tc>
          <w:tcPr>
            <w:tcW w:w="110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18%</w:t>
            </w:r>
          </w:p>
        </w:tc>
        <w:tc>
          <w:tcPr>
            <w:tcW w:w="116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-29%</w:t>
            </w:r>
          </w:p>
        </w:tc>
        <w:tc>
          <w:tcPr>
            <w:tcW w:w="1081"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150%</w:t>
            </w:r>
          </w:p>
        </w:tc>
        <w:tc>
          <w:tcPr>
            <w:tcW w:w="1042" w:type="dxa"/>
            <w:tcBorders>
              <w:top w:val="nil"/>
              <w:left w:val="nil"/>
              <w:bottom w:val="single" w:sz="4" w:space="0" w:color="auto"/>
              <w:right w:val="single" w:sz="4" w:space="0" w:color="auto"/>
            </w:tcBorders>
            <w:shd w:val="clear" w:color="auto" w:fill="auto"/>
            <w:vAlign w:val="center"/>
          </w:tcPr>
          <w:p w:rsidR="003E62B2" w:rsidRDefault="003E62B2" w:rsidP="003E62B2">
            <w:pPr>
              <w:widowControl/>
              <w:jc w:val="center"/>
              <w:rPr>
                <w:rFonts w:ascii="宋体" w:hAnsi="宋体" w:cs="宋体"/>
                <w:b/>
                <w:bCs/>
                <w:kern w:val="0"/>
                <w:sz w:val="18"/>
                <w:szCs w:val="18"/>
              </w:rPr>
            </w:pPr>
            <w:r>
              <w:rPr>
                <w:rFonts w:ascii="宋体" w:hAnsi="宋体" w:cs="宋体" w:hint="eastAsia"/>
                <w:b/>
                <w:bCs/>
                <w:kern w:val="0"/>
                <w:sz w:val="18"/>
                <w:szCs w:val="18"/>
              </w:rPr>
              <w:t>120%</w:t>
            </w:r>
          </w:p>
        </w:tc>
      </w:tr>
      <w:tr w:rsidR="003E62B2" w:rsidTr="003E62B2">
        <w:trPr>
          <w:trHeight w:val="356"/>
        </w:trPr>
        <w:tc>
          <w:tcPr>
            <w:tcW w:w="2971" w:type="dxa"/>
            <w:tcBorders>
              <w:top w:val="single" w:sz="4" w:space="0" w:color="auto"/>
              <w:left w:val="single" w:sz="4" w:space="0" w:color="auto"/>
              <w:bottom w:val="single" w:sz="4" w:space="0" w:color="auto"/>
              <w:right w:val="single" w:sz="4" w:space="0" w:color="auto"/>
            </w:tcBorders>
            <w:shd w:val="clear" w:color="auto" w:fill="DDDDDD"/>
            <w:vAlign w:val="center"/>
          </w:tcPr>
          <w:p w:rsidR="003E62B2" w:rsidRDefault="003E62B2" w:rsidP="003E62B2">
            <w:pPr>
              <w:widowControl/>
              <w:jc w:val="left"/>
              <w:rPr>
                <w:rFonts w:ascii="宋体" w:hAnsi="宋体" w:cs="宋体"/>
                <w:kern w:val="0"/>
                <w:sz w:val="18"/>
                <w:szCs w:val="18"/>
              </w:rPr>
            </w:pPr>
            <w:r>
              <w:rPr>
                <w:rFonts w:ascii="宋体" w:hAnsi="宋体" w:cs="宋体" w:hint="eastAsia"/>
                <w:kern w:val="0"/>
                <w:sz w:val="18"/>
                <w:szCs w:val="18"/>
              </w:rPr>
              <w:t>结算准备金额（万元）</w:t>
            </w:r>
          </w:p>
        </w:tc>
        <w:tc>
          <w:tcPr>
            <w:tcW w:w="1003"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49,918</w:t>
            </w:r>
          </w:p>
        </w:tc>
        <w:tc>
          <w:tcPr>
            <w:tcW w:w="110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48,653</w:t>
            </w:r>
          </w:p>
        </w:tc>
        <w:tc>
          <w:tcPr>
            <w:tcW w:w="116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3%</w:t>
            </w:r>
          </w:p>
        </w:tc>
        <w:tc>
          <w:tcPr>
            <w:tcW w:w="1081"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800</w:t>
            </w:r>
          </w:p>
        </w:tc>
        <w:tc>
          <w:tcPr>
            <w:tcW w:w="1042" w:type="dxa"/>
            <w:tcBorders>
              <w:top w:val="nil"/>
              <w:left w:val="nil"/>
              <w:bottom w:val="single" w:sz="4" w:space="0" w:color="auto"/>
              <w:right w:val="single" w:sz="4" w:space="0" w:color="auto"/>
            </w:tcBorders>
            <w:shd w:val="clear" w:color="auto" w:fill="DDDDDD"/>
            <w:vAlign w:val="center"/>
          </w:tcPr>
          <w:p w:rsidR="003E62B2" w:rsidRDefault="003E62B2" w:rsidP="003E62B2">
            <w:pPr>
              <w:widowControl/>
              <w:jc w:val="center"/>
              <w:rPr>
                <w:rFonts w:ascii="宋体" w:hAnsi="宋体" w:cs="宋体"/>
                <w:kern w:val="0"/>
                <w:sz w:val="18"/>
                <w:szCs w:val="18"/>
              </w:rPr>
            </w:pPr>
            <w:r>
              <w:rPr>
                <w:rFonts w:ascii="宋体" w:hAnsi="宋体" w:cs="宋体" w:hint="eastAsia"/>
                <w:kern w:val="0"/>
                <w:sz w:val="18"/>
                <w:szCs w:val="18"/>
              </w:rPr>
              <w:t>1,200</w:t>
            </w:r>
          </w:p>
        </w:tc>
      </w:tr>
    </w:tbl>
    <w:p w:rsidR="005F0C65" w:rsidRPr="00314509" w:rsidRDefault="00AA26BA" w:rsidP="00314509">
      <w:pPr>
        <w:pStyle w:val="1"/>
        <w:spacing w:before="0" w:after="0" w:line="240" w:lineRule="auto"/>
        <w:rPr>
          <w:rFonts w:ascii="仿宋" w:eastAsia="仿宋" w:hAnsi="仿宋"/>
          <w:b w:val="0"/>
          <w:sz w:val="30"/>
          <w:szCs w:val="30"/>
        </w:rPr>
      </w:pPr>
      <w:bookmarkStart w:id="20" w:name="_Toc38037990"/>
      <w:r w:rsidRPr="00314509">
        <w:rPr>
          <w:rFonts w:ascii="仿宋" w:eastAsia="仿宋" w:hAnsi="仿宋" w:hint="eastAsia"/>
          <w:b w:val="0"/>
          <w:sz w:val="30"/>
          <w:szCs w:val="30"/>
        </w:rPr>
        <w:lastRenderedPageBreak/>
        <w:t>3、加强研发力度，紧密服务市场</w:t>
      </w:r>
      <w:bookmarkEnd w:id="20"/>
    </w:p>
    <w:p w:rsidR="005F0C65" w:rsidRDefault="00AA26BA">
      <w:pPr>
        <w:pStyle w:val="11"/>
        <w:spacing w:before="0" w:beforeAutospacing="0" w:after="0"/>
        <w:ind w:firstLine="600"/>
        <w:rPr>
          <w:rFonts w:ascii="宋体" w:cs="Times New Roman"/>
          <w:color w:val="FF0000"/>
          <w:sz w:val="24"/>
          <w:szCs w:val="24"/>
        </w:rPr>
      </w:pPr>
      <w:r>
        <w:rPr>
          <w:rFonts w:ascii="仿宋" w:eastAsia="仿宋" w:hAnsi="仿宋" w:hint="eastAsia"/>
          <w:sz w:val="30"/>
          <w:szCs w:val="30"/>
        </w:rPr>
        <w:t>公司对研究工作秉承“研究创造价值”的核心理念，要求研究开发部除了协同集团内部做好企业服务、专业咨询的工作外，同时要求研究开发部在财富管理方面积极参与、激励创新，打造一支有研究能力，更有交易能力的研究队伍。公司通过各类媒体投放相关研究报告120余篇，扩大公司在行业内的影响力，同时通过线上线下各类会议支持前线业务开展，获得良好效果。</w:t>
      </w:r>
      <w:r>
        <w:rPr>
          <w:rFonts w:ascii="仿宋" w:eastAsia="仿宋" w:hAnsi="仿宋" w:cs="Times New Roman"/>
          <w:sz w:val="30"/>
          <w:szCs w:val="30"/>
        </w:rPr>
        <w:t>2019</w:t>
      </w:r>
      <w:r>
        <w:rPr>
          <w:rFonts w:ascii="仿宋" w:eastAsia="仿宋" w:hAnsi="仿宋" w:cs="Times New Roman" w:hint="eastAsia"/>
          <w:sz w:val="30"/>
          <w:szCs w:val="30"/>
        </w:rPr>
        <w:t>年，研究员荣获期货日报、证券时报第十二届中国最佳期货分析师评选最佳工艺二批期货分析师、最佳农副产品期货分析师，公司获上期所优秀分析师团队、上海国际能源交易中心优秀产业服务团队，研究员荣获上期所优秀有色金属、黑色金属、能化分析师称号，树立公司在业界形象，以投研能力促业务发展。</w:t>
      </w:r>
    </w:p>
    <w:p w:rsidR="005F0C65" w:rsidRDefault="00AA26BA">
      <w:pPr>
        <w:spacing w:line="360" w:lineRule="auto"/>
        <w:ind w:firstLineChars="200" w:firstLine="600"/>
        <w:rPr>
          <w:rFonts w:ascii="仿宋" w:eastAsia="仿宋" w:hAnsi="仿宋"/>
          <w:sz w:val="30"/>
          <w:szCs w:val="30"/>
        </w:rPr>
      </w:pPr>
      <w:r>
        <w:rPr>
          <w:rFonts w:ascii="仿宋" w:eastAsia="仿宋" w:hAnsi="仿宋" w:hint="eastAsia"/>
          <w:sz w:val="30"/>
          <w:szCs w:val="30"/>
        </w:rPr>
        <w:t>目前公司的研究服务范围涵盖宏观经济、商品期货、金融期货（股指期货、国债期货、股指期权）等多个领域。</w:t>
      </w:r>
    </w:p>
    <w:p w:rsidR="005F0C65" w:rsidRPr="00314509" w:rsidRDefault="00AA26BA" w:rsidP="00314509">
      <w:pPr>
        <w:pStyle w:val="1"/>
        <w:spacing w:before="0" w:after="0" w:line="240" w:lineRule="auto"/>
        <w:rPr>
          <w:rFonts w:ascii="仿宋" w:eastAsia="仿宋" w:hAnsi="仿宋"/>
          <w:b w:val="0"/>
          <w:sz w:val="30"/>
          <w:szCs w:val="30"/>
        </w:rPr>
      </w:pPr>
      <w:bookmarkStart w:id="21" w:name="_Toc38037991"/>
      <w:r w:rsidRPr="00314509">
        <w:rPr>
          <w:rFonts w:ascii="仿宋" w:eastAsia="仿宋" w:hAnsi="仿宋" w:hint="eastAsia"/>
          <w:b w:val="0"/>
          <w:sz w:val="30"/>
          <w:szCs w:val="30"/>
        </w:rPr>
        <w:t>4、固定资产投资及评估</w:t>
      </w:r>
      <w:bookmarkEnd w:id="21"/>
    </w:p>
    <w:p w:rsidR="005F0C65" w:rsidRPr="00BB5D7D" w:rsidRDefault="00AA26BA" w:rsidP="00032843">
      <w:pPr>
        <w:widowControl/>
        <w:autoSpaceDE w:val="0"/>
        <w:autoSpaceDN w:val="0"/>
        <w:spacing w:line="480" w:lineRule="exact"/>
        <w:ind w:right="-236" w:firstLine="600"/>
        <w:rPr>
          <w:rFonts w:ascii="仿宋" w:eastAsia="仿宋" w:hAnsi="仿宋" w:cs="Arial"/>
          <w:bCs/>
          <w:sz w:val="30"/>
          <w:szCs w:val="30"/>
        </w:rPr>
      </w:pPr>
      <w:r w:rsidRPr="00BB5D7D">
        <w:rPr>
          <w:rFonts w:ascii="仿宋" w:eastAsia="仿宋" w:hAnsi="仿宋" w:hint="eastAsia"/>
          <w:sz w:val="30"/>
          <w:szCs w:val="30"/>
        </w:rPr>
        <w:t>公司固定资产投资1</w:t>
      </w:r>
      <w:r w:rsidRPr="00BB5D7D">
        <w:rPr>
          <w:rFonts w:ascii="仿宋" w:eastAsia="仿宋" w:hAnsi="仿宋"/>
          <w:sz w:val="30"/>
          <w:szCs w:val="30"/>
        </w:rPr>
        <w:t>852</w:t>
      </w:r>
      <w:r w:rsidRPr="00BB5D7D">
        <w:rPr>
          <w:rFonts w:ascii="仿宋" w:eastAsia="仿宋" w:hAnsi="仿宋" w:hint="eastAsia"/>
          <w:sz w:val="30"/>
          <w:szCs w:val="30"/>
        </w:rPr>
        <w:t>万元，累计折旧1</w:t>
      </w:r>
      <w:r w:rsidRPr="00BB5D7D">
        <w:rPr>
          <w:rFonts w:ascii="仿宋" w:eastAsia="仿宋" w:hAnsi="仿宋"/>
          <w:sz w:val="30"/>
          <w:szCs w:val="30"/>
        </w:rPr>
        <w:t>530</w:t>
      </w:r>
      <w:r w:rsidRPr="00BB5D7D">
        <w:rPr>
          <w:rFonts w:ascii="仿宋" w:eastAsia="仿宋" w:hAnsi="仿宋" w:hint="eastAsia"/>
          <w:sz w:val="30"/>
          <w:szCs w:val="30"/>
        </w:rPr>
        <w:t>万元，2019年年末余额3</w:t>
      </w:r>
      <w:r w:rsidRPr="00BB5D7D">
        <w:rPr>
          <w:rFonts w:ascii="仿宋" w:eastAsia="仿宋" w:hAnsi="仿宋"/>
          <w:sz w:val="30"/>
          <w:szCs w:val="30"/>
        </w:rPr>
        <w:t>22</w:t>
      </w:r>
      <w:r w:rsidRPr="00BB5D7D">
        <w:rPr>
          <w:rFonts w:ascii="仿宋" w:eastAsia="仿宋" w:hAnsi="仿宋" w:hint="eastAsia"/>
          <w:sz w:val="30"/>
          <w:szCs w:val="30"/>
        </w:rPr>
        <w:t>万元，</w:t>
      </w:r>
      <w:r w:rsidRPr="00BB5D7D">
        <w:rPr>
          <w:rFonts w:ascii="仿宋" w:eastAsia="仿宋" w:hAnsi="仿宋" w:cs="Arial" w:hint="eastAsia"/>
          <w:bCs/>
          <w:sz w:val="30"/>
          <w:szCs w:val="30"/>
        </w:rPr>
        <w:t>固定资产余额中无暂时闲置、已报废准备处置及抵押的情况，固定资产无需提取减值准备，无所有权受到限制的固定资产。</w:t>
      </w:r>
    </w:p>
    <w:p w:rsidR="005F0C65" w:rsidRPr="00ED033C" w:rsidRDefault="00AA26BA" w:rsidP="00032843">
      <w:pPr>
        <w:pStyle w:val="ab"/>
        <w:spacing w:before="0" w:after="0" w:line="480" w:lineRule="exact"/>
        <w:jc w:val="left"/>
        <w:rPr>
          <w:rFonts w:ascii="仿宋" w:eastAsia="仿宋" w:hAnsi="仿宋"/>
          <w:sz w:val="30"/>
          <w:szCs w:val="30"/>
        </w:rPr>
      </w:pPr>
      <w:bookmarkStart w:id="22" w:name="_Toc38037992"/>
      <w:r>
        <w:rPr>
          <w:rFonts w:ascii="仿宋" w:eastAsia="仿宋" w:hAnsi="仿宋" w:hint="eastAsia"/>
          <w:sz w:val="30"/>
          <w:szCs w:val="30"/>
        </w:rPr>
        <w:t>五、社会责任与业绩</w:t>
      </w:r>
      <w:bookmarkEnd w:id="22"/>
    </w:p>
    <w:p w:rsidR="005F0C65" w:rsidRPr="00314509" w:rsidRDefault="00AA26BA" w:rsidP="00032843">
      <w:pPr>
        <w:pStyle w:val="1"/>
        <w:spacing w:before="0" w:after="0" w:line="480" w:lineRule="exact"/>
        <w:rPr>
          <w:rFonts w:ascii="仿宋" w:eastAsia="仿宋" w:hAnsi="仿宋"/>
          <w:b w:val="0"/>
          <w:sz w:val="30"/>
          <w:szCs w:val="30"/>
        </w:rPr>
      </w:pPr>
      <w:bookmarkStart w:id="23" w:name="_Toc38037993"/>
      <w:r w:rsidRPr="00314509">
        <w:rPr>
          <w:rFonts w:ascii="仿宋" w:eastAsia="仿宋" w:hAnsi="仿宋" w:hint="eastAsia"/>
          <w:b w:val="0"/>
          <w:sz w:val="30"/>
          <w:szCs w:val="30"/>
        </w:rPr>
        <w:t>1、公司社会责任大事记</w:t>
      </w:r>
      <w:bookmarkEnd w:id="23"/>
    </w:p>
    <w:p w:rsidR="005F0C65" w:rsidRPr="006F5C75" w:rsidRDefault="00AA26BA" w:rsidP="00032843">
      <w:pPr>
        <w:spacing w:line="480" w:lineRule="exact"/>
        <w:ind w:firstLineChars="200" w:firstLine="600"/>
        <w:rPr>
          <w:rFonts w:ascii="仿宋" w:eastAsia="仿宋" w:hAnsi="仿宋" w:cs="Arial"/>
          <w:bCs/>
          <w:sz w:val="30"/>
          <w:szCs w:val="30"/>
        </w:rPr>
      </w:pPr>
      <w:r w:rsidRPr="006F5C75">
        <w:rPr>
          <w:rFonts w:ascii="仿宋" w:eastAsia="仿宋" w:hAnsi="仿宋" w:cs="Arial" w:hint="eastAsia"/>
          <w:bCs/>
          <w:sz w:val="30"/>
          <w:szCs w:val="30"/>
        </w:rPr>
        <w:t>2019年，在服务实体经济方面，为积极响应国家脱贫攻坚战略，发挥期货公司精准扶贫专业优势，公司走进安徽萧县青龙镇路口行政村开展精准扶贫物资捐赠。</w:t>
      </w:r>
      <w:r w:rsidRPr="006F5C75">
        <w:rPr>
          <w:rFonts w:ascii="仿宋" w:eastAsia="仿宋" w:hAnsi="仿宋" w:hint="eastAsia"/>
          <w:sz w:val="30"/>
          <w:szCs w:val="30"/>
        </w:rPr>
        <w:t>该村地处两省（安徽省、</w:t>
      </w:r>
      <w:r w:rsidRPr="006F5C75">
        <w:rPr>
          <w:rFonts w:ascii="仿宋" w:eastAsia="仿宋" w:hAnsi="仿宋" w:hint="eastAsia"/>
          <w:sz w:val="30"/>
          <w:szCs w:val="30"/>
        </w:rPr>
        <w:lastRenderedPageBreak/>
        <w:t>河南省）三县（萧县、濉溪县、永城市）一市（淮北市）结合处，条件艰苦，属贫困村。现有登记在册贫困户326户，涉及876人，其中6-16周岁的贫困儿童92人。为切实改善当地贫困儿童生活状况，经与当地扶贫书记邱宏瀛沟通，公司与当地签署了结对帮扶合作备忘录，并结合实际需求，商议了对在册贫困儿童捐助生活用品的方案。本次方案惠及92名贫困儿童，合计人民币1.24万元。</w:t>
      </w:r>
      <w:r w:rsidRPr="006F5C75">
        <w:rPr>
          <w:rFonts w:ascii="仿宋" w:eastAsia="仿宋" w:hAnsi="仿宋" w:cs="Arial" w:hint="eastAsia"/>
          <w:bCs/>
          <w:sz w:val="30"/>
          <w:szCs w:val="30"/>
        </w:rPr>
        <w:t>现场公司还与萧县青龙镇路口行政村就精准扶贫工作签订合作备忘录，安徽萧</w:t>
      </w:r>
      <w:r w:rsidRPr="006F5C75">
        <w:rPr>
          <w:rFonts w:ascii="仿宋" w:eastAsia="仿宋" w:hAnsi="仿宋" w:cs="Arial"/>
          <w:bCs/>
          <w:sz w:val="30"/>
          <w:szCs w:val="30"/>
        </w:rPr>
        <w:t>县</w:t>
      </w:r>
      <w:r w:rsidRPr="006F5C75">
        <w:rPr>
          <w:rFonts w:ascii="仿宋" w:eastAsia="仿宋" w:hAnsi="仿宋" w:cs="Arial" w:hint="eastAsia"/>
          <w:bCs/>
          <w:sz w:val="30"/>
          <w:szCs w:val="30"/>
        </w:rPr>
        <w:t>青龙镇镇委书记张勇、镇长徐佩、镇委副书记陈振出席捐赠仪式。为更好促进当地经济发展和产业升级，后续公司将继续与萧县开展深入合作，普及期货知识、提升风险管理意识，利用公司专业优势，落实金融精准扶贫、专业扶贫，搭建金融与农业实体经济的桥梁，促进萧县特色产业发展，助力萧县振兴，充分发挥期货行业服务国家脱贫攻坚战的作用，加快萧县脱贫步伐。</w:t>
      </w:r>
    </w:p>
    <w:p w:rsidR="005F0C65" w:rsidRPr="006F5C75" w:rsidRDefault="00AA26BA" w:rsidP="00032843">
      <w:pPr>
        <w:spacing w:line="480" w:lineRule="exact"/>
        <w:ind w:firstLineChars="200" w:firstLine="600"/>
        <w:rPr>
          <w:rFonts w:ascii="仿宋" w:eastAsia="仿宋" w:hAnsi="仿宋" w:cs="Arial"/>
          <w:bCs/>
          <w:sz w:val="30"/>
          <w:szCs w:val="30"/>
        </w:rPr>
      </w:pPr>
      <w:r w:rsidRPr="006F5C75">
        <w:rPr>
          <w:rFonts w:ascii="仿宋" w:eastAsia="仿宋" w:hAnsi="仿宋" w:cs="Arial" w:hint="eastAsia"/>
          <w:bCs/>
          <w:sz w:val="30"/>
          <w:szCs w:val="30"/>
        </w:rPr>
        <w:t>在消费扶贫方面，2019年，中银国际期货使用自有资金认购贫困地区产品6.06万元。</w:t>
      </w:r>
    </w:p>
    <w:p w:rsidR="005F0C65" w:rsidRPr="007F5801" w:rsidRDefault="00AA26BA" w:rsidP="00032843">
      <w:pPr>
        <w:pStyle w:val="1"/>
        <w:spacing w:before="0" w:after="0" w:line="480" w:lineRule="exact"/>
        <w:rPr>
          <w:rFonts w:ascii="仿宋" w:eastAsia="仿宋" w:hAnsi="仿宋"/>
          <w:b w:val="0"/>
          <w:sz w:val="30"/>
          <w:szCs w:val="30"/>
        </w:rPr>
      </w:pPr>
      <w:bookmarkStart w:id="24" w:name="_Toc38037994"/>
      <w:r w:rsidRPr="007F5801">
        <w:rPr>
          <w:rFonts w:ascii="仿宋" w:eastAsia="仿宋" w:hAnsi="仿宋" w:hint="eastAsia"/>
          <w:b w:val="0"/>
          <w:sz w:val="30"/>
          <w:szCs w:val="30"/>
        </w:rPr>
        <w:t>2、员工管理与合理的工作</w:t>
      </w:r>
      <w:bookmarkEnd w:id="24"/>
    </w:p>
    <w:p w:rsidR="005F0C65" w:rsidRPr="007F5801" w:rsidRDefault="00AA26BA" w:rsidP="00032843">
      <w:pPr>
        <w:spacing w:line="480" w:lineRule="exact"/>
        <w:ind w:firstLine="600"/>
        <w:rPr>
          <w:rFonts w:ascii="仿宋" w:eastAsia="仿宋" w:hAnsi="仿宋"/>
          <w:sz w:val="30"/>
          <w:szCs w:val="30"/>
        </w:rPr>
      </w:pPr>
      <w:r w:rsidRPr="007F5801">
        <w:rPr>
          <w:rFonts w:ascii="仿宋" w:eastAsia="仿宋" w:hAnsi="仿宋" w:hint="eastAsia"/>
          <w:sz w:val="30"/>
          <w:szCs w:val="30"/>
        </w:rPr>
        <w:t>（1） 关于员工的基本理念</w:t>
      </w:r>
    </w:p>
    <w:p w:rsidR="005F0C65" w:rsidRPr="007F5801" w:rsidRDefault="00AA26BA" w:rsidP="00032843">
      <w:pPr>
        <w:spacing w:line="480" w:lineRule="exact"/>
        <w:ind w:firstLineChars="200" w:firstLine="600"/>
        <w:rPr>
          <w:rFonts w:ascii="仿宋" w:eastAsia="仿宋" w:hAnsi="仿宋"/>
          <w:sz w:val="30"/>
          <w:szCs w:val="30"/>
        </w:rPr>
      </w:pPr>
      <w:r w:rsidRPr="007F5801">
        <w:rPr>
          <w:rFonts w:ascii="仿宋" w:eastAsia="仿宋" w:hAnsi="仿宋" w:hint="eastAsia"/>
          <w:sz w:val="30"/>
          <w:szCs w:val="30"/>
        </w:rPr>
        <w:t>在员工管理方面，2019年公司积极开展凝聚力工作，以团建带动业务开展，以党建促进企业高质量发展，以制度规范员工管理。2019年修订了《廉洁从业规定》、《压力测试管理办法》、《分支机构印章管理办法》、《员工考勤管理办法》、《分支机构营业费用管理规定》、《市场营销部考核与激励管理办法》、《前线新设部门缓冲期考核与激励管理办法》、《员工内部调动管理办法》等相关制度，制订了《问责管理暂行办法》、《内部审计实施细则》、《法律事务管理办法》、《分支机构内部岗位设置及职责》等相关制度。</w:t>
      </w:r>
    </w:p>
    <w:p w:rsidR="005F0C65" w:rsidRPr="007F5801" w:rsidRDefault="00AA26BA" w:rsidP="00032843">
      <w:pPr>
        <w:spacing w:line="480" w:lineRule="exact"/>
        <w:ind w:firstLine="600"/>
        <w:rPr>
          <w:rFonts w:ascii="仿宋" w:eastAsia="仿宋" w:hAnsi="仿宋" w:cs="仿宋_GB2312"/>
          <w:sz w:val="30"/>
          <w:szCs w:val="30"/>
        </w:rPr>
      </w:pPr>
      <w:r w:rsidRPr="007F5801">
        <w:rPr>
          <w:rFonts w:ascii="仿宋" w:eastAsia="仿宋" w:hAnsi="仿宋" w:cs="仿宋_GB2312" w:hint="eastAsia"/>
          <w:sz w:val="30"/>
          <w:szCs w:val="30"/>
        </w:rPr>
        <w:t>（2）员工数量、结构与流动比例</w:t>
      </w:r>
    </w:p>
    <w:p w:rsidR="005F0C65" w:rsidRPr="007F5801" w:rsidRDefault="00AA26BA" w:rsidP="00032843">
      <w:pPr>
        <w:spacing w:line="480" w:lineRule="exact"/>
        <w:ind w:firstLineChars="200" w:firstLine="600"/>
        <w:rPr>
          <w:rFonts w:ascii="仿宋" w:eastAsia="仿宋" w:hAnsi="仿宋"/>
          <w:sz w:val="30"/>
          <w:szCs w:val="30"/>
        </w:rPr>
      </w:pPr>
      <w:r w:rsidRPr="007F5801">
        <w:rPr>
          <w:rFonts w:ascii="仿宋" w:eastAsia="仿宋" w:hAnsi="仿宋" w:hint="eastAsia"/>
          <w:sz w:val="30"/>
          <w:szCs w:val="30"/>
        </w:rPr>
        <w:t>截止至2019年我司共吸收社会及学校就业资源124人。其</w:t>
      </w:r>
      <w:r w:rsidRPr="007F5801">
        <w:rPr>
          <w:rFonts w:ascii="仿宋" w:eastAsia="仿宋" w:hAnsi="仿宋" w:hint="eastAsia"/>
          <w:sz w:val="30"/>
          <w:szCs w:val="30"/>
        </w:rPr>
        <w:lastRenderedPageBreak/>
        <w:t>中，50岁以上4人，占比3%；40-49岁，20人，占比16%；30-39岁，68人，占比55%；30岁以下，32人，占比26%。2019年，共离职15人，入职29人。</w:t>
      </w:r>
    </w:p>
    <w:p w:rsidR="005F0C65" w:rsidRPr="007F5801" w:rsidRDefault="00AA26BA" w:rsidP="00032843">
      <w:pPr>
        <w:spacing w:line="480" w:lineRule="exact"/>
        <w:ind w:firstLine="600"/>
        <w:rPr>
          <w:rFonts w:ascii="仿宋" w:eastAsia="仿宋" w:hAnsi="仿宋"/>
          <w:sz w:val="30"/>
          <w:szCs w:val="30"/>
        </w:rPr>
      </w:pPr>
      <w:r w:rsidRPr="007F5801">
        <w:rPr>
          <w:rFonts w:ascii="仿宋" w:eastAsia="仿宋" w:hAnsi="仿宋" w:hint="eastAsia"/>
          <w:sz w:val="30"/>
          <w:szCs w:val="30"/>
        </w:rPr>
        <w:t>（3）员工与管理层关系；</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公司管理层秉持以人为本，以事为先的管理态度，坚信人才是企业的财富，也是企业得以运作、发展、持久的基石。倾听员工意见，解决员工问题，是创造和谐企业文化，推动企业稳步前进的关键。公司通过大会宣导企业文化、小会沟通员工心声，鼓励部门主管组织内部活动等多种方式拉近管理层与员工的距离，同时在每年度的绩效考核中，设置员工对管理层情况满意度测评，充分授权给员工对管理层进行履职监督。</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（4）职业健康与安全</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公司每年在内部举行消防知识培训，加强员工安全防范意识。同时，本年度公司新承租的办公区域投入使用，所有材料均符合国家安全标准，确保员工的办公环境无毒无害。同时，公司为员工个人、配偶及子女购买了商业医疗保险，并每年组织员工体检。</w:t>
      </w:r>
    </w:p>
    <w:p w:rsidR="005F0C65" w:rsidRPr="007F5801" w:rsidRDefault="00AA26BA" w:rsidP="00032843">
      <w:pPr>
        <w:spacing w:line="480" w:lineRule="exact"/>
        <w:ind w:firstLine="600"/>
        <w:rPr>
          <w:rFonts w:ascii="仿宋" w:eastAsia="仿宋" w:hAnsi="仿宋"/>
          <w:sz w:val="30"/>
          <w:szCs w:val="30"/>
        </w:rPr>
      </w:pPr>
      <w:r w:rsidRPr="007F5801">
        <w:rPr>
          <w:rFonts w:ascii="仿宋" w:eastAsia="仿宋" w:hAnsi="仿宋" w:hint="eastAsia"/>
          <w:sz w:val="30"/>
          <w:szCs w:val="30"/>
        </w:rPr>
        <w:t>（5）员工的福利与社会保障</w:t>
      </w:r>
    </w:p>
    <w:p w:rsidR="005F0C65" w:rsidRPr="007F5801" w:rsidRDefault="00AA26BA" w:rsidP="00032843">
      <w:pPr>
        <w:spacing w:line="480" w:lineRule="exact"/>
        <w:ind w:firstLineChars="200" w:firstLine="600"/>
        <w:rPr>
          <w:rFonts w:ascii="仿宋" w:eastAsia="仿宋" w:hAnsi="仿宋"/>
          <w:sz w:val="30"/>
          <w:szCs w:val="30"/>
        </w:rPr>
      </w:pPr>
      <w:r w:rsidRPr="007F5801">
        <w:rPr>
          <w:rFonts w:ascii="仿宋" w:eastAsia="仿宋" w:hAnsi="仿宋" w:hint="eastAsia"/>
          <w:sz w:val="30"/>
          <w:szCs w:val="30"/>
        </w:rPr>
        <w:t>公司自2008年建立以来，一直严格遵守国家《劳动法》、《劳动合同法》及其他区域性的劳动法律规定，按照国家及地方标准及时足额地为员工缴纳社会保险及公积金，同时额外提供商业医疗、体检等福利项目。</w:t>
      </w:r>
    </w:p>
    <w:p w:rsidR="005F0C65" w:rsidRDefault="00AA26BA" w:rsidP="00032843">
      <w:pPr>
        <w:spacing w:line="480" w:lineRule="exact"/>
        <w:ind w:firstLine="600"/>
        <w:rPr>
          <w:rFonts w:ascii="仿宋" w:eastAsia="仿宋" w:hAnsi="仿宋"/>
          <w:sz w:val="30"/>
          <w:szCs w:val="30"/>
        </w:rPr>
      </w:pPr>
      <w:r>
        <w:rPr>
          <w:rFonts w:ascii="仿宋" w:eastAsia="仿宋" w:hAnsi="仿宋" w:hint="eastAsia"/>
          <w:sz w:val="30"/>
          <w:szCs w:val="30"/>
        </w:rPr>
        <w:t>（6）培训与教育</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2019年我司组织了101次培训，总计380人次参加。以提高工作水平及专业素质为目的，与上期所、中期协、大商所、会计协会等多家官方机构合作对员工进行了各方面的培训，培训内容涉及原油期货、投资者适当性、反洗钱等方面。</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此外，在员工管理及培养方面，修订了4项涉及员工考核、福利、加班及晋升等方面的制度，为员工个人学习、发展及目标</w:t>
      </w:r>
      <w:r w:rsidRPr="00970C5F">
        <w:rPr>
          <w:rFonts w:ascii="仿宋" w:eastAsia="仿宋" w:hAnsi="仿宋" w:hint="eastAsia"/>
          <w:sz w:val="30"/>
          <w:szCs w:val="30"/>
        </w:rPr>
        <w:lastRenderedPageBreak/>
        <w:t>指明了方向。</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在员工个人成长方面，公司通过行业培训、内部培训、集团内部联动等途径加强员工的职业素质，鼓励员工参与行业内一些证书的考取并给与一定的奖励。</w:t>
      </w:r>
    </w:p>
    <w:p w:rsidR="005F0C65" w:rsidRPr="00970C5F" w:rsidRDefault="00AA26BA" w:rsidP="00032843">
      <w:pPr>
        <w:pStyle w:val="1"/>
        <w:spacing w:before="0" w:after="0" w:line="480" w:lineRule="exact"/>
        <w:rPr>
          <w:rFonts w:ascii="仿宋" w:eastAsia="仿宋" w:hAnsi="仿宋"/>
          <w:b w:val="0"/>
          <w:sz w:val="30"/>
          <w:szCs w:val="30"/>
        </w:rPr>
      </w:pPr>
      <w:bookmarkStart w:id="25" w:name="_Toc38037995"/>
      <w:r w:rsidRPr="00970C5F">
        <w:rPr>
          <w:rFonts w:ascii="仿宋" w:eastAsia="仿宋" w:hAnsi="仿宋" w:hint="eastAsia"/>
          <w:b w:val="0"/>
          <w:sz w:val="30"/>
          <w:szCs w:val="30"/>
        </w:rPr>
        <w:t>3、员工权利</w:t>
      </w:r>
      <w:bookmarkEnd w:id="25"/>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（1）工会组织现状及作用</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工会是企业联系职工群众的桥梁和纽带，中银国际期货工会小组在维护员工权益与福利、开展各类公司内部活动、社会活动等方面发挥了积极作用。</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中银国际期货工会有组长1人，副组长1人。每年组织团建活动，增强企业凝聚力，同时帮助新员工更快地融入公司大集体。此外，工会不定期开展文体活动丰富员工的业余生活。对员工生日、结婚、生育、丧事、住院等情况，对员工本人或家属进行慰问，若员工及其家属患重大疾病或其他原因造成经济困难时，可向工会申请困难补助，切实落实员工关怀。</w:t>
      </w:r>
    </w:p>
    <w:p w:rsidR="005F0C65" w:rsidRPr="00970C5F" w:rsidRDefault="00AA26BA" w:rsidP="00032843">
      <w:pPr>
        <w:spacing w:line="480" w:lineRule="exact"/>
        <w:ind w:firstLine="600"/>
        <w:rPr>
          <w:rFonts w:ascii="仿宋" w:eastAsia="仿宋" w:hAnsi="仿宋"/>
          <w:sz w:val="30"/>
          <w:szCs w:val="30"/>
        </w:rPr>
      </w:pPr>
      <w:r w:rsidRPr="00970C5F">
        <w:rPr>
          <w:rFonts w:ascii="仿宋" w:eastAsia="仿宋" w:hAnsi="仿宋" w:hint="eastAsia"/>
          <w:sz w:val="30"/>
          <w:szCs w:val="30"/>
        </w:rPr>
        <w:t>（2）员工权利的保障</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公司重视员工权利保障，努力建设即满足公司发展需要，又充分满足员工需求的内部管理制度，严格遵守《劳动法》、《劳动合同法》，保障员工薪资待遇、休息休假、社会保险等各项权利。在重要政策执行前，通过各种途径进行政策宣导，听取员工意见，确保各项决策的执行公开、公平、公正。</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对绩效优秀的员工及时奖励，梳理内部典型，确保员工劳有所得，多劳多得。在员工薪酬待遇、职业晋升方面，以员工绩效为先，通过民主管理、员工参与的形式，调动员工积极性，反对徇私舞弊、任人为亲的显现，打造和谐向上、积极稳定的劳资关系。</w:t>
      </w:r>
    </w:p>
    <w:p w:rsidR="005F0C65" w:rsidRPr="00314509" w:rsidRDefault="00314509" w:rsidP="00032843">
      <w:pPr>
        <w:pStyle w:val="1"/>
        <w:spacing w:before="0" w:after="0" w:line="480" w:lineRule="exact"/>
        <w:rPr>
          <w:rFonts w:ascii="仿宋" w:eastAsia="仿宋" w:hAnsi="仿宋"/>
          <w:b w:val="0"/>
          <w:sz w:val="30"/>
          <w:szCs w:val="30"/>
        </w:rPr>
      </w:pPr>
      <w:bookmarkStart w:id="26" w:name="_Toc38037996"/>
      <w:r>
        <w:rPr>
          <w:rFonts w:ascii="仿宋" w:eastAsia="仿宋" w:hAnsi="仿宋" w:hint="eastAsia"/>
          <w:b w:val="0"/>
          <w:sz w:val="30"/>
          <w:szCs w:val="30"/>
        </w:rPr>
        <w:t>4、</w:t>
      </w:r>
      <w:r w:rsidR="00AA26BA" w:rsidRPr="00314509">
        <w:rPr>
          <w:rFonts w:ascii="仿宋" w:eastAsia="仿宋" w:hAnsi="仿宋" w:hint="eastAsia"/>
          <w:b w:val="0"/>
          <w:sz w:val="30"/>
          <w:szCs w:val="30"/>
        </w:rPr>
        <w:t>社会影响</w:t>
      </w:r>
      <w:bookmarkEnd w:id="26"/>
    </w:p>
    <w:p w:rsidR="005F0C65" w:rsidRDefault="00AA26BA" w:rsidP="00032843">
      <w:pPr>
        <w:spacing w:line="480" w:lineRule="exact"/>
        <w:ind w:firstLine="600"/>
        <w:rPr>
          <w:rFonts w:ascii="仿宋" w:eastAsia="仿宋" w:hAnsi="仿宋"/>
          <w:sz w:val="30"/>
          <w:szCs w:val="30"/>
        </w:rPr>
      </w:pPr>
      <w:r>
        <w:rPr>
          <w:rFonts w:ascii="仿宋" w:eastAsia="仿宋" w:hAnsi="仿宋" w:hint="eastAsia"/>
          <w:sz w:val="30"/>
          <w:szCs w:val="30"/>
        </w:rPr>
        <w:t>（1）良好的商业道德与职业操守（如诚信、反对贿赂及贪污、反洗钱等）</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lastRenderedPageBreak/>
        <w:t>在反洗钱方面，我司按照金融机构反洗钱监督管理办法（试行）》在公司内部积极履行反洗钱义务。我司目前已制定《反洗钱及反恐怖融资工作指引》、《客户身份识别实施办法》、《洗钱和恐怖融资风险评估及客户分类管理办法》、《反洗钱及反恐怖融资工作指引》、《大额、可疑交易报告管理办法》、《反洗钱及反恐怖融资人员管理考核办法》、《关于涉及恐怖活动资产冻结操作办法》及《协助、配合司法机关和行政执法机关打击洗钱活动工作流程》等制度。公司建立执行委员会领导，法律合规部组织协调，客服部、资产管理部、风险管理部主要实施，财务部、交易部、结算部协助分析，信息技术部技术支持，其他部门及全体员工日常关注和报告，首席风险官监督的多层次、全方位的反洗钱及反恐怖融资工作体系。</w:t>
      </w:r>
    </w:p>
    <w:p w:rsidR="005F0C65" w:rsidRPr="00865E17" w:rsidRDefault="00AA26BA" w:rsidP="00032843">
      <w:pPr>
        <w:spacing w:line="480" w:lineRule="exact"/>
        <w:ind w:firstLineChars="200" w:firstLine="600"/>
        <w:rPr>
          <w:rFonts w:ascii="仿宋" w:eastAsia="仿宋" w:hAnsi="仿宋"/>
          <w:sz w:val="30"/>
          <w:szCs w:val="30"/>
        </w:rPr>
      </w:pPr>
      <w:r w:rsidRPr="00865E17">
        <w:rPr>
          <w:rFonts w:ascii="仿宋" w:eastAsia="仿宋" w:hAnsi="仿宋" w:hint="eastAsia"/>
          <w:sz w:val="30"/>
          <w:szCs w:val="30"/>
        </w:rPr>
        <w:t>在合规经营方面，公司始终把“严控风险，严守合规底线”放在各项工作的首位来抓，坚持稳健经营，对违规风险采取零容忍的态度，杜绝违规事件的发生。随着业务的多元化开展，公司在合规内控建设上还需要加强，特别是创新业务中的合规把握和风险管控。因此</w:t>
      </w:r>
      <w:r w:rsidRPr="00865E17">
        <w:rPr>
          <w:rFonts w:ascii="仿宋" w:eastAsia="仿宋" w:hAnsi="仿宋"/>
          <w:sz w:val="30"/>
          <w:szCs w:val="30"/>
        </w:rPr>
        <w:t>201</w:t>
      </w:r>
      <w:r w:rsidRPr="00865E17">
        <w:rPr>
          <w:rFonts w:ascii="仿宋" w:eastAsia="仿宋" w:hAnsi="仿宋" w:hint="eastAsia"/>
          <w:sz w:val="30"/>
          <w:szCs w:val="30"/>
        </w:rPr>
        <w:t>9年公司各业务层面要加强多层次多方面的业务学习，加强不同行业间的交流沟通，提升政治敏感度，认清市场形势的变化，积极与监管部门和交易所沟通，更好地领会监管要求，确保没有认知上的“模糊地带”。加强制度建设，梳理各项规章制度和业务流程，强化合规部门对业务部门制度建设的督导职能。继续坚持风险合规第一位的原则，绝不动摇。</w:t>
      </w:r>
    </w:p>
    <w:p w:rsidR="005F0C65" w:rsidRPr="00865E17" w:rsidRDefault="00AA26BA" w:rsidP="00032843">
      <w:pPr>
        <w:spacing w:line="480" w:lineRule="exact"/>
        <w:ind w:firstLine="600"/>
        <w:rPr>
          <w:rFonts w:ascii="仿宋" w:eastAsia="仿宋" w:hAnsi="仿宋"/>
          <w:sz w:val="30"/>
          <w:szCs w:val="30"/>
        </w:rPr>
      </w:pPr>
      <w:r w:rsidRPr="00865E17">
        <w:rPr>
          <w:rFonts w:ascii="仿宋" w:eastAsia="仿宋" w:hAnsi="仿宋" w:hint="eastAsia"/>
          <w:sz w:val="30"/>
          <w:szCs w:val="30"/>
        </w:rPr>
        <w:t>在足额纳税方面</w:t>
      </w:r>
      <w:r w:rsidRPr="00865E17">
        <w:rPr>
          <w:rFonts w:ascii="仿宋" w:eastAsia="仿宋" w:hAnsi="仿宋" w:cs="仿宋_GB2312" w:hint="eastAsia"/>
          <w:sz w:val="30"/>
          <w:szCs w:val="30"/>
        </w:rPr>
        <w:t>，</w:t>
      </w:r>
      <w:r w:rsidRPr="00865E17">
        <w:rPr>
          <w:rFonts w:ascii="仿宋" w:eastAsia="仿宋" w:hAnsi="仿宋" w:hint="eastAsia"/>
          <w:sz w:val="30"/>
          <w:szCs w:val="30"/>
        </w:rPr>
        <w:t>我司严格遵守国家相关法律法规，2019年总计缴纳增值税8</w:t>
      </w:r>
      <w:r w:rsidRPr="00865E17">
        <w:rPr>
          <w:rFonts w:ascii="仿宋" w:eastAsia="仿宋" w:hAnsi="仿宋"/>
          <w:sz w:val="30"/>
          <w:szCs w:val="30"/>
        </w:rPr>
        <w:t>33</w:t>
      </w:r>
      <w:r w:rsidRPr="00865E17">
        <w:rPr>
          <w:rFonts w:ascii="仿宋" w:eastAsia="仿宋" w:hAnsi="仿宋" w:hint="eastAsia"/>
          <w:sz w:val="30"/>
          <w:szCs w:val="30"/>
        </w:rPr>
        <w:t>万元，个人所得税1</w:t>
      </w:r>
      <w:r w:rsidRPr="00865E17">
        <w:rPr>
          <w:rFonts w:ascii="仿宋" w:eastAsia="仿宋" w:hAnsi="仿宋"/>
          <w:sz w:val="30"/>
          <w:szCs w:val="30"/>
        </w:rPr>
        <w:t>92</w:t>
      </w:r>
      <w:r w:rsidRPr="00865E17">
        <w:rPr>
          <w:rFonts w:ascii="仿宋" w:eastAsia="仿宋" w:hAnsi="仿宋" w:hint="eastAsia"/>
          <w:sz w:val="30"/>
          <w:szCs w:val="30"/>
        </w:rPr>
        <w:t>万元，企业所得税1</w:t>
      </w:r>
      <w:r w:rsidRPr="00865E17">
        <w:rPr>
          <w:rFonts w:ascii="仿宋" w:eastAsia="仿宋" w:hAnsi="仿宋"/>
          <w:sz w:val="30"/>
          <w:szCs w:val="30"/>
        </w:rPr>
        <w:t>757</w:t>
      </w:r>
      <w:r w:rsidRPr="00865E17">
        <w:rPr>
          <w:rFonts w:ascii="仿宋" w:eastAsia="仿宋" w:hAnsi="仿宋" w:hint="eastAsia"/>
          <w:sz w:val="30"/>
          <w:szCs w:val="30"/>
        </w:rPr>
        <w:t>万元，</w:t>
      </w:r>
      <w:r w:rsidRPr="00865E17">
        <w:rPr>
          <w:rFonts w:ascii="仿宋" w:eastAsia="仿宋" w:hAnsi="仿宋" w:cs="仿宋_GB2312" w:hint="eastAsia"/>
          <w:sz w:val="30"/>
          <w:szCs w:val="30"/>
        </w:rPr>
        <w:t>增值税附加</w:t>
      </w:r>
      <w:r w:rsidRPr="00865E17">
        <w:rPr>
          <w:rFonts w:ascii="仿宋" w:eastAsia="仿宋" w:hAnsi="仿宋" w:hint="eastAsia"/>
          <w:sz w:val="30"/>
          <w:szCs w:val="30"/>
        </w:rPr>
        <w:t>及印花税9</w:t>
      </w:r>
      <w:r w:rsidRPr="00865E17">
        <w:rPr>
          <w:rFonts w:ascii="仿宋" w:eastAsia="仿宋" w:hAnsi="仿宋"/>
          <w:sz w:val="30"/>
          <w:szCs w:val="30"/>
        </w:rPr>
        <w:t>5</w:t>
      </w:r>
      <w:r w:rsidRPr="00865E17">
        <w:rPr>
          <w:rFonts w:ascii="仿宋" w:eastAsia="仿宋" w:hAnsi="仿宋" w:cs="仿宋_GB2312" w:hint="eastAsia"/>
          <w:sz w:val="30"/>
          <w:szCs w:val="30"/>
        </w:rPr>
        <w:t>万元。</w:t>
      </w:r>
    </w:p>
    <w:p w:rsidR="005F0C65" w:rsidRDefault="00AA26BA" w:rsidP="00032843">
      <w:pPr>
        <w:spacing w:line="480" w:lineRule="exact"/>
        <w:ind w:firstLine="600"/>
        <w:rPr>
          <w:rFonts w:ascii="仿宋" w:eastAsia="仿宋" w:hAnsi="仿宋"/>
          <w:sz w:val="30"/>
          <w:szCs w:val="30"/>
        </w:rPr>
      </w:pPr>
      <w:r>
        <w:rPr>
          <w:rFonts w:ascii="仿宋" w:eastAsia="仿宋" w:hAnsi="仿宋" w:hint="eastAsia"/>
          <w:sz w:val="30"/>
          <w:szCs w:val="30"/>
        </w:rPr>
        <w:t>（2）公益及慈善事业</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2019年，进一步深入贯彻落实中央和证监会的有关精神要求和战略部署，在证监会的统一部署和指导以及协会的大力号召下，公司在2019年伊始积极动员，向全员传达中央和证监会关</w:t>
      </w:r>
      <w:r>
        <w:rPr>
          <w:rFonts w:ascii="仿宋" w:eastAsia="仿宋" w:hAnsi="仿宋" w:hint="eastAsia"/>
          <w:sz w:val="30"/>
          <w:szCs w:val="30"/>
        </w:rPr>
        <w:lastRenderedPageBreak/>
        <w:t>于扶贫工作的重要精神，要求全员进行深入学习并强化责任担当意识，形成了全员参与扶贫的氛围，同时积极响应“精准扶贫、精准脱贫”的号召，在公司内部成立了以总经理为组长的扶贫领导小组，由公司综合部具体落实扶贫工作。为深入贯彻落实《中共中央、国务院关于打赢脱贫攻坚战的决定》、《中国证监会关于发挥资本市场作用服务国家脱贫攻坚战略的意见》文件精神，积极响应中国期货业协会《期货行业服务国家脱贫攻坚战略行动倡议书》的号召，经调研，公司选定安徽萧县作为帮扶对象，为行政村义务教育阶段儿童捐赠生活用品并举行了捐赠仪式，现场公司还与萧县青龙镇路口行政村就精准扶贫工作签订合作备忘录。副总经理杨波表示：希望受到资助的孩子们，不畏贫困，好学上进，以优异的成绩回报社会，早日成长为发展家乡、建设祖国的栋梁之才；希望当地能够利用自身优势资源，发展产业，早日走上致富之路。此项工作于7月8日完成所有的捐赠手续。</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伴随公司规模逐渐扩大，中银国际期货将继续身体力行地承担起应尽的社会责任，树立良好的企业形象，为社会经济发展、构建和谐社会发挥积极作用。</w:t>
      </w:r>
    </w:p>
    <w:p w:rsidR="005F0C65" w:rsidRPr="00ED033C" w:rsidRDefault="00AA26BA" w:rsidP="00032843">
      <w:pPr>
        <w:pStyle w:val="ab"/>
        <w:spacing w:before="0" w:after="0" w:line="480" w:lineRule="exact"/>
        <w:jc w:val="left"/>
        <w:rPr>
          <w:rFonts w:ascii="仿宋" w:eastAsia="仿宋" w:hAnsi="仿宋"/>
          <w:sz w:val="30"/>
          <w:szCs w:val="30"/>
        </w:rPr>
      </w:pPr>
      <w:bookmarkStart w:id="27" w:name="_Toc38037997"/>
      <w:r>
        <w:rPr>
          <w:rFonts w:ascii="仿宋" w:eastAsia="仿宋" w:hAnsi="仿宋" w:hint="eastAsia"/>
          <w:sz w:val="30"/>
          <w:szCs w:val="30"/>
        </w:rPr>
        <w:t>六、环境责任与业绩</w:t>
      </w:r>
      <w:bookmarkEnd w:id="27"/>
    </w:p>
    <w:p w:rsidR="005F0C65" w:rsidRPr="00865E17" w:rsidRDefault="00AA26BA" w:rsidP="00032843">
      <w:pPr>
        <w:spacing w:line="480" w:lineRule="exact"/>
        <w:ind w:firstLineChars="200" w:firstLine="600"/>
        <w:rPr>
          <w:rFonts w:ascii="仿宋" w:eastAsia="仿宋" w:hAnsi="仿宋"/>
          <w:sz w:val="30"/>
          <w:szCs w:val="30"/>
        </w:rPr>
      </w:pPr>
      <w:r w:rsidRPr="00865E17">
        <w:rPr>
          <w:rFonts w:ascii="仿宋" w:eastAsia="仿宋" w:hAnsi="仿宋" w:hint="eastAsia"/>
          <w:sz w:val="30"/>
          <w:szCs w:val="30"/>
        </w:rPr>
        <w:t>公司提倡非机密内容的纸张正反面使用、随手关电脑屏幕、下班电脑关机、节假日办公设备断电等节能措施。在采购必要资源时，优先考虑对环境负荷小的材料。对废旧纸张、杂志刊物、纸盒包装等统一收集处理，为资源回收再利用作出自己的贡献。</w:t>
      </w:r>
    </w:p>
    <w:p w:rsidR="005F0C65" w:rsidRPr="00865E17" w:rsidRDefault="005F0C65" w:rsidP="00032843">
      <w:pPr>
        <w:spacing w:line="480" w:lineRule="exact"/>
        <w:rPr>
          <w:rFonts w:ascii="仿宋" w:eastAsia="仿宋" w:hAnsi="仿宋"/>
          <w:sz w:val="30"/>
          <w:szCs w:val="30"/>
        </w:rPr>
      </w:pPr>
    </w:p>
    <w:p w:rsidR="005F0C65" w:rsidRPr="00865E17" w:rsidRDefault="00AA26BA" w:rsidP="00032843">
      <w:pPr>
        <w:spacing w:line="480" w:lineRule="exact"/>
        <w:ind w:firstLineChars="200" w:firstLine="600"/>
        <w:rPr>
          <w:rFonts w:ascii="仿宋" w:eastAsia="仿宋" w:hAnsi="仿宋"/>
          <w:sz w:val="30"/>
          <w:szCs w:val="30"/>
        </w:rPr>
      </w:pPr>
      <w:r w:rsidRPr="00865E17">
        <w:rPr>
          <w:rFonts w:ascii="仿宋" w:eastAsia="仿宋" w:hAnsi="仿宋" w:hint="eastAsia"/>
          <w:sz w:val="30"/>
          <w:szCs w:val="30"/>
        </w:rPr>
        <w:t>伴随公司规模逐渐扩大，中银国际期货将继续身体力行地承担起应尽的社会责任，切实地为股东战略贡献自身能量、为员工成长提供发展空间、为投资者提供周到服务，同时始终坚持合规经营、与时俱进，为创造更大价值继续努力。</w:t>
      </w:r>
    </w:p>
    <w:p w:rsidR="00346118" w:rsidRDefault="00346118" w:rsidP="00032843">
      <w:pPr>
        <w:spacing w:line="480" w:lineRule="exact"/>
        <w:ind w:firstLineChars="200" w:firstLine="600"/>
        <w:rPr>
          <w:rFonts w:ascii="仿宋" w:eastAsia="仿宋" w:hAnsi="仿宋"/>
          <w:sz w:val="30"/>
          <w:szCs w:val="30"/>
        </w:rPr>
      </w:pPr>
    </w:p>
    <w:p w:rsidR="00346118" w:rsidRDefault="00346118" w:rsidP="00517E1E">
      <w:pPr>
        <w:spacing w:line="360" w:lineRule="auto"/>
        <w:rPr>
          <w:rFonts w:ascii="仿宋" w:eastAsia="仿宋" w:hAnsi="仿宋"/>
          <w:sz w:val="30"/>
          <w:szCs w:val="30"/>
        </w:rPr>
        <w:sectPr w:rsidR="00346118" w:rsidSect="00E0064A">
          <w:headerReference w:type="default" r:id="rId14"/>
          <w:footerReference w:type="even" r:id="rId15"/>
          <w:footerReference w:type="default" r:id="rId16"/>
          <w:pgSz w:w="11906" w:h="16838"/>
          <w:pgMar w:top="1440" w:right="1800" w:bottom="1440" w:left="1800" w:header="851" w:footer="992" w:gutter="0"/>
          <w:cols w:space="720"/>
          <w:titlePg/>
          <w:docGrid w:type="lines" w:linePitch="312"/>
        </w:sectPr>
      </w:pPr>
    </w:p>
    <w:p w:rsidR="00346118" w:rsidRPr="00346118" w:rsidRDefault="00F60A33" w:rsidP="00346118">
      <w:pPr>
        <w:widowControl/>
        <w:rPr>
          <w:rFonts w:ascii="Calibri" w:hAnsi="Calibri" w:cs="宋体"/>
          <w:kern w:val="0"/>
          <w:szCs w:val="21"/>
        </w:rPr>
      </w:pPr>
      <w:r w:rsidRPr="00F60A33">
        <w:rPr>
          <w:noProof/>
        </w:rPr>
        <w:lastRenderedPageBreak/>
        <w:pict>
          <v:shape id="_x0000_s1029" type="#_x0000_t75" alt="" style="position:absolute;left:0;text-align:left;margin-left:287.9pt;margin-top:-15.75pt;width:169.25pt;height:57.95pt;z-index:-1" wrapcoords="3441 5610 2772 5891 1625 8696 1625 10660 1720 15429 2963 17953 3345 17953 4205 17953 19497 17392 19306 14587 18924 10099 19497 6452 17968 6171 4110 5610 3441 5610">
            <v:imagedata r:id="rId17" o:title="wps_clip_image-6316"/>
            <w10:wrap type="tight"/>
          </v:shape>
        </w:pict>
      </w:r>
      <w:r w:rsidRPr="00F60A33">
        <w:rPr>
          <w:noProof/>
        </w:rPr>
        <w:pict>
          <v:shape id="_x0000_s1028" type="#_x0000_t75" alt="" style="position:absolute;left:0;text-align:left;margin-left:-68.25pt;margin-top:-177.8pt;width:1106.2pt;height:1120.2pt;z-index:-2">
            <v:imagedata r:id="rId18" o:title="wps_clip_image-6224"/>
          </v:shape>
        </w:pict>
      </w:r>
    </w:p>
    <w:p w:rsidR="00346118" w:rsidRPr="00346118" w:rsidRDefault="00346118" w:rsidP="00346118">
      <w:pPr>
        <w:widowControl/>
        <w:rPr>
          <w:rFonts w:ascii="Calibri" w:hAnsi="Calibri" w:cs="宋体"/>
          <w:kern w:val="0"/>
          <w:szCs w:val="21"/>
        </w:rPr>
      </w:pPr>
    </w:p>
    <w:p w:rsidR="00346118" w:rsidRPr="00346118" w:rsidRDefault="00346118" w:rsidP="00346118">
      <w:pPr>
        <w:widowControl/>
        <w:rPr>
          <w:rFonts w:ascii="Calibri" w:hAnsi="Calibri" w:cs="宋体"/>
          <w:kern w:val="0"/>
          <w:szCs w:val="21"/>
        </w:rPr>
      </w:pPr>
    </w:p>
    <w:p w:rsidR="00346118" w:rsidRDefault="00346118" w:rsidP="00346118">
      <w:pPr>
        <w:spacing w:line="360" w:lineRule="auto"/>
        <w:ind w:firstLineChars="200" w:firstLine="600"/>
        <w:rPr>
          <w:rFonts w:ascii="仿宋" w:eastAsia="仿宋" w:hAnsi="仿宋"/>
          <w:sz w:val="30"/>
          <w:szCs w:val="30"/>
        </w:rPr>
      </w:pPr>
    </w:p>
    <w:sectPr w:rsidR="00346118" w:rsidSect="00E0064A">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F6E" w:rsidRDefault="00F97F6E" w:rsidP="005F0C65">
      <w:r>
        <w:separator/>
      </w:r>
    </w:p>
  </w:endnote>
  <w:endnote w:type="continuationSeparator" w:id="1">
    <w:p w:rsidR="00F97F6E" w:rsidRDefault="00F97F6E" w:rsidP="005F0C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C65" w:rsidRDefault="00F60A33">
    <w:pPr>
      <w:pStyle w:val="a7"/>
      <w:framePr w:wrap="around" w:vAnchor="text" w:hAnchor="margin" w:xAlign="right" w:y="1"/>
      <w:rPr>
        <w:rStyle w:val="a9"/>
      </w:rPr>
    </w:pPr>
    <w:r>
      <w:fldChar w:fldCharType="begin"/>
    </w:r>
    <w:r w:rsidR="00AA26BA">
      <w:rPr>
        <w:rStyle w:val="a9"/>
      </w:rPr>
      <w:instrText xml:space="preserve">PAGE  </w:instrText>
    </w:r>
    <w:r>
      <w:fldChar w:fldCharType="end"/>
    </w:r>
  </w:p>
  <w:p w:rsidR="005F0C65" w:rsidRDefault="005F0C6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C65" w:rsidRDefault="00F60A33">
    <w:pPr>
      <w:pStyle w:val="a7"/>
      <w:framePr w:wrap="around" w:vAnchor="text" w:hAnchor="margin" w:xAlign="right" w:y="1"/>
      <w:rPr>
        <w:rStyle w:val="a9"/>
      </w:rPr>
    </w:pPr>
    <w:r>
      <w:fldChar w:fldCharType="begin"/>
    </w:r>
    <w:r w:rsidR="00AA26BA">
      <w:rPr>
        <w:rStyle w:val="a9"/>
      </w:rPr>
      <w:instrText xml:space="preserve">PAGE  </w:instrText>
    </w:r>
    <w:r>
      <w:fldChar w:fldCharType="separate"/>
    </w:r>
    <w:r w:rsidR="00571A34">
      <w:rPr>
        <w:rStyle w:val="a9"/>
        <w:noProof/>
      </w:rPr>
      <w:t>9</w:t>
    </w:r>
    <w:r>
      <w:fldChar w:fldCharType="end"/>
    </w:r>
  </w:p>
  <w:p w:rsidR="005F0C65" w:rsidRDefault="005F0C65">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F6E" w:rsidRDefault="00F97F6E" w:rsidP="005F0C65">
      <w:r>
        <w:separator/>
      </w:r>
    </w:p>
  </w:footnote>
  <w:footnote w:type="continuationSeparator" w:id="1">
    <w:p w:rsidR="00F97F6E" w:rsidRDefault="00F97F6E" w:rsidP="005F0C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AA4" w:rsidRPr="00B72AA4" w:rsidRDefault="00F60A33" w:rsidP="00B72AA4">
    <w:pPr>
      <w:pStyle w:val="a8"/>
      <w:jc w:val="both"/>
      <w:rPr>
        <w:rFonts w:eastAsia="仿宋"/>
      </w:rPr>
    </w:pPr>
    <w:r>
      <w:rPr>
        <w:rFonts w:eastAsia="仿宋"/>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97.5pt;margin-top:-22.2pt;width:207.75pt;height:27.75pt;z-index:-1" wrapcoords="-78 0 -78 21016 21600 21016 21600 0 -78 0">
          <v:imagedata r:id="rId1" o:title="wps_clip_image-9337"/>
          <w10:wrap type="tight"/>
        </v:shape>
      </w:pict>
    </w:r>
    <w:r w:rsidR="00B72AA4" w:rsidRPr="00B72AA4">
      <w:rPr>
        <w:rFonts w:eastAsia="仿宋" w:hint="eastAsia"/>
        <w:lang w:eastAsia="zh-CN"/>
      </w:rPr>
      <w:t>2019</w:t>
    </w:r>
    <w:r w:rsidR="00B72AA4" w:rsidRPr="00B72AA4">
      <w:rPr>
        <w:rFonts w:eastAsia="仿宋" w:hint="eastAsia"/>
        <w:lang w:eastAsia="zh-CN"/>
      </w:rPr>
      <w:t>年度社会责任报告</w:t>
    </w:r>
  </w:p>
  <w:p w:rsidR="005F0C65" w:rsidRPr="00F07BA4" w:rsidRDefault="005F0C65" w:rsidP="00F07BA4">
    <w:pPr>
      <w:pStyle w:val="p0"/>
      <w:rPr>
        <w:rFonts w:ascii="仿宋" w:eastAsia="仿宋" w:hAnsi="仿宋"/>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96C2CD"/>
    <w:multiLevelType w:val="singleLevel"/>
    <w:tmpl w:val="5E96C2CD"/>
    <w:lvl w:ilvl="0">
      <w:start w:val="4"/>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F0C65"/>
    <w:rsid w:val="00003CC2"/>
    <w:rsid w:val="00032843"/>
    <w:rsid w:val="000652A3"/>
    <w:rsid w:val="000D2672"/>
    <w:rsid w:val="001075F1"/>
    <w:rsid w:val="00132CBB"/>
    <w:rsid w:val="001335EE"/>
    <w:rsid w:val="001A4B04"/>
    <w:rsid w:val="001E2CB1"/>
    <w:rsid w:val="002102D3"/>
    <w:rsid w:val="00255F0D"/>
    <w:rsid w:val="00287699"/>
    <w:rsid w:val="002D2915"/>
    <w:rsid w:val="00314509"/>
    <w:rsid w:val="00346118"/>
    <w:rsid w:val="003B320F"/>
    <w:rsid w:val="003E62B2"/>
    <w:rsid w:val="00444753"/>
    <w:rsid w:val="00446DA9"/>
    <w:rsid w:val="00517E1E"/>
    <w:rsid w:val="00571A34"/>
    <w:rsid w:val="005B1D0C"/>
    <w:rsid w:val="005C2223"/>
    <w:rsid w:val="005F0C65"/>
    <w:rsid w:val="0068552F"/>
    <w:rsid w:val="006C590C"/>
    <w:rsid w:val="006F5C75"/>
    <w:rsid w:val="007F5801"/>
    <w:rsid w:val="00865E17"/>
    <w:rsid w:val="00970C5F"/>
    <w:rsid w:val="009F44DB"/>
    <w:rsid w:val="00A06445"/>
    <w:rsid w:val="00AA26BA"/>
    <w:rsid w:val="00B01A0E"/>
    <w:rsid w:val="00B16E84"/>
    <w:rsid w:val="00B16FC3"/>
    <w:rsid w:val="00B72AA4"/>
    <w:rsid w:val="00B75BE5"/>
    <w:rsid w:val="00BA2E77"/>
    <w:rsid w:val="00BB5D7D"/>
    <w:rsid w:val="00BF6221"/>
    <w:rsid w:val="00D02343"/>
    <w:rsid w:val="00D21EDC"/>
    <w:rsid w:val="00E0064A"/>
    <w:rsid w:val="00E2090B"/>
    <w:rsid w:val="00ED033C"/>
    <w:rsid w:val="00F07BA4"/>
    <w:rsid w:val="00F33EA2"/>
    <w:rsid w:val="00F44E1E"/>
    <w:rsid w:val="00F45852"/>
    <w:rsid w:val="00F60A33"/>
    <w:rsid w:val="00F97F6E"/>
    <w:rsid w:val="00FB4E1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semiHidden="0" w:unhideWhenUsed="0"/>
    <w:lsdException w:name="header" w:semiHidden="0" w:uiPriority="99" w:unhideWhenUsed="0"/>
    <w:lsdException w:name="footer" w:semiHidden="0" w:unhideWhenUsed="0"/>
    <w:lsdException w:name="caption" w:qFormat="1"/>
    <w:lsdException w:name="annotation reference" w:semiHidden="0" w:unhideWhenUsed="0"/>
    <w:lsdException w:name="page number"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C65"/>
    <w:pPr>
      <w:widowControl w:val="0"/>
      <w:jc w:val="both"/>
    </w:pPr>
    <w:rPr>
      <w:kern w:val="2"/>
      <w:sz w:val="21"/>
      <w:szCs w:val="24"/>
    </w:rPr>
  </w:style>
  <w:style w:type="paragraph" w:styleId="1">
    <w:name w:val="heading 1"/>
    <w:basedOn w:val="a"/>
    <w:next w:val="a"/>
    <w:link w:val="1Char"/>
    <w:qFormat/>
    <w:rsid w:val="00ED033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5F0C65"/>
    <w:rPr>
      <w:b/>
      <w:bCs/>
    </w:rPr>
  </w:style>
  <w:style w:type="paragraph" w:styleId="a4">
    <w:name w:val="annotation text"/>
    <w:basedOn w:val="a"/>
    <w:link w:val="Char0"/>
    <w:rsid w:val="005F0C65"/>
    <w:pPr>
      <w:jc w:val="left"/>
    </w:pPr>
    <w:rPr>
      <w:lang/>
    </w:rPr>
  </w:style>
  <w:style w:type="paragraph" w:styleId="a5">
    <w:name w:val="Date"/>
    <w:basedOn w:val="a"/>
    <w:next w:val="a"/>
    <w:link w:val="Char1"/>
    <w:rsid w:val="005F0C65"/>
    <w:pPr>
      <w:ind w:leftChars="2500" w:left="100"/>
    </w:pPr>
    <w:rPr>
      <w:lang/>
    </w:rPr>
  </w:style>
  <w:style w:type="paragraph" w:styleId="a6">
    <w:name w:val="Balloon Text"/>
    <w:basedOn w:val="a"/>
    <w:semiHidden/>
    <w:rsid w:val="005F0C65"/>
    <w:rPr>
      <w:sz w:val="18"/>
      <w:szCs w:val="18"/>
    </w:rPr>
  </w:style>
  <w:style w:type="paragraph" w:styleId="a7">
    <w:name w:val="footer"/>
    <w:basedOn w:val="a"/>
    <w:rsid w:val="005F0C65"/>
    <w:pPr>
      <w:tabs>
        <w:tab w:val="center" w:pos="4153"/>
        <w:tab w:val="right" w:pos="8306"/>
      </w:tabs>
      <w:snapToGrid w:val="0"/>
      <w:jc w:val="left"/>
    </w:pPr>
    <w:rPr>
      <w:sz w:val="18"/>
      <w:szCs w:val="18"/>
    </w:rPr>
  </w:style>
  <w:style w:type="paragraph" w:styleId="a8">
    <w:name w:val="header"/>
    <w:basedOn w:val="a"/>
    <w:link w:val="Char2"/>
    <w:uiPriority w:val="99"/>
    <w:rsid w:val="005F0C65"/>
    <w:pPr>
      <w:pBdr>
        <w:bottom w:val="single" w:sz="6" w:space="1" w:color="auto"/>
      </w:pBdr>
      <w:tabs>
        <w:tab w:val="center" w:pos="4153"/>
        <w:tab w:val="right" w:pos="8306"/>
      </w:tabs>
      <w:snapToGrid w:val="0"/>
      <w:jc w:val="center"/>
    </w:pPr>
    <w:rPr>
      <w:sz w:val="18"/>
      <w:szCs w:val="18"/>
      <w:lang/>
    </w:rPr>
  </w:style>
  <w:style w:type="character" w:styleId="a9">
    <w:name w:val="page number"/>
    <w:basedOn w:val="a0"/>
    <w:rsid w:val="005F0C65"/>
  </w:style>
  <w:style w:type="character" w:styleId="aa">
    <w:name w:val="annotation reference"/>
    <w:rsid w:val="005F0C65"/>
    <w:rPr>
      <w:sz w:val="21"/>
      <w:szCs w:val="21"/>
    </w:rPr>
  </w:style>
  <w:style w:type="paragraph" w:customStyle="1" w:styleId="10">
    <w:name w:val="列出段落1"/>
    <w:basedOn w:val="a"/>
    <w:uiPriority w:val="34"/>
    <w:qFormat/>
    <w:rsid w:val="005F0C65"/>
    <w:pPr>
      <w:ind w:firstLineChars="200" w:firstLine="420"/>
    </w:pPr>
  </w:style>
  <w:style w:type="paragraph" w:customStyle="1" w:styleId="2">
    <w:name w:val="列出段落2"/>
    <w:basedOn w:val="a"/>
    <w:uiPriority w:val="99"/>
    <w:qFormat/>
    <w:rsid w:val="005F0C65"/>
    <w:pPr>
      <w:ind w:firstLineChars="200" w:firstLine="420"/>
    </w:pPr>
  </w:style>
  <w:style w:type="paragraph" w:customStyle="1" w:styleId="11">
    <w:name w:val="列出段落11"/>
    <w:basedOn w:val="a"/>
    <w:uiPriority w:val="99"/>
    <w:rsid w:val="005F0C65"/>
    <w:pPr>
      <w:spacing w:before="100" w:beforeAutospacing="1" w:after="100" w:line="360" w:lineRule="auto"/>
      <w:ind w:firstLineChars="200" w:firstLine="420"/>
    </w:pPr>
    <w:rPr>
      <w:rFonts w:ascii="Calibri" w:hAnsi="Calibri" w:cs="Calibri"/>
      <w:szCs w:val="21"/>
    </w:rPr>
  </w:style>
  <w:style w:type="character" w:customStyle="1" w:styleId="Char2">
    <w:name w:val="页眉 Char"/>
    <w:link w:val="a8"/>
    <w:uiPriority w:val="99"/>
    <w:rsid w:val="005F0C65"/>
    <w:rPr>
      <w:kern w:val="2"/>
      <w:sz w:val="18"/>
      <w:szCs w:val="18"/>
    </w:rPr>
  </w:style>
  <w:style w:type="character" w:customStyle="1" w:styleId="Char0">
    <w:name w:val="批注文字 Char"/>
    <w:link w:val="a4"/>
    <w:rsid w:val="005F0C65"/>
    <w:rPr>
      <w:kern w:val="2"/>
      <w:sz w:val="21"/>
      <w:szCs w:val="24"/>
    </w:rPr>
  </w:style>
  <w:style w:type="character" w:customStyle="1" w:styleId="Char">
    <w:name w:val="批注主题 Char"/>
    <w:basedOn w:val="Char0"/>
    <w:link w:val="a3"/>
    <w:rsid w:val="005F0C65"/>
    <w:rPr>
      <w:kern w:val="2"/>
      <w:sz w:val="21"/>
      <w:szCs w:val="24"/>
    </w:rPr>
  </w:style>
  <w:style w:type="character" w:customStyle="1" w:styleId="Char1">
    <w:name w:val="日期 Char"/>
    <w:link w:val="a5"/>
    <w:rsid w:val="005F0C65"/>
    <w:rPr>
      <w:kern w:val="2"/>
      <w:sz w:val="21"/>
      <w:szCs w:val="24"/>
    </w:rPr>
  </w:style>
  <w:style w:type="paragraph" w:customStyle="1" w:styleId="p0">
    <w:name w:val="p0"/>
    <w:basedOn w:val="a"/>
    <w:rsid w:val="00F07BA4"/>
    <w:pPr>
      <w:widowControl/>
      <w:jc w:val="left"/>
    </w:pPr>
    <w:rPr>
      <w:kern w:val="0"/>
      <w:szCs w:val="21"/>
    </w:rPr>
  </w:style>
  <w:style w:type="paragraph" w:styleId="ab">
    <w:name w:val="Title"/>
    <w:basedOn w:val="a"/>
    <w:next w:val="a"/>
    <w:link w:val="Char3"/>
    <w:qFormat/>
    <w:rsid w:val="00ED033C"/>
    <w:pPr>
      <w:spacing w:before="240" w:after="60"/>
      <w:jc w:val="center"/>
      <w:outlineLvl w:val="0"/>
    </w:pPr>
    <w:rPr>
      <w:rFonts w:ascii="Cambria" w:hAnsi="Cambria"/>
      <w:b/>
      <w:bCs/>
      <w:sz w:val="32"/>
      <w:szCs w:val="32"/>
    </w:rPr>
  </w:style>
  <w:style w:type="character" w:customStyle="1" w:styleId="Char3">
    <w:name w:val="标题 Char"/>
    <w:basedOn w:val="a0"/>
    <w:link w:val="ab"/>
    <w:rsid w:val="00ED033C"/>
    <w:rPr>
      <w:rFonts w:ascii="Cambria" w:hAnsi="Cambria" w:cs="Times New Roman"/>
      <w:b/>
      <w:bCs/>
      <w:kern w:val="2"/>
      <w:sz w:val="32"/>
      <w:szCs w:val="32"/>
    </w:rPr>
  </w:style>
  <w:style w:type="character" w:customStyle="1" w:styleId="1Char">
    <w:name w:val="标题 1 Char"/>
    <w:basedOn w:val="a0"/>
    <w:link w:val="1"/>
    <w:rsid w:val="00ED033C"/>
    <w:rPr>
      <w:b/>
      <w:bCs/>
      <w:kern w:val="44"/>
      <w:sz w:val="44"/>
      <w:szCs w:val="44"/>
    </w:rPr>
  </w:style>
  <w:style w:type="paragraph" w:styleId="TOC">
    <w:name w:val="TOC Heading"/>
    <w:basedOn w:val="1"/>
    <w:next w:val="a"/>
    <w:uiPriority w:val="39"/>
    <w:unhideWhenUsed/>
    <w:qFormat/>
    <w:rsid w:val="005B1D0C"/>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semiHidden/>
    <w:unhideWhenUsed/>
    <w:qFormat/>
    <w:rsid w:val="005B1D0C"/>
    <w:pPr>
      <w:widowControl/>
      <w:spacing w:after="100" w:line="276" w:lineRule="auto"/>
      <w:ind w:left="220"/>
      <w:jc w:val="left"/>
    </w:pPr>
    <w:rPr>
      <w:rFonts w:ascii="Calibri" w:hAnsi="Calibri"/>
      <w:kern w:val="0"/>
      <w:sz w:val="22"/>
      <w:szCs w:val="22"/>
    </w:rPr>
  </w:style>
  <w:style w:type="paragraph" w:styleId="12">
    <w:name w:val="toc 1"/>
    <w:basedOn w:val="a"/>
    <w:next w:val="a"/>
    <w:autoRedefine/>
    <w:uiPriority w:val="39"/>
    <w:unhideWhenUsed/>
    <w:qFormat/>
    <w:rsid w:val="005B1D0C"/>
    <w:pPr>
      <w:widowControl/>
      <w:spacing w:after="100" w:line="276" w:lineRule="auto"/>
      <w:jc w:val="left"/>
    </w:pPr>
    <w:rPr>
      <w:rFonts w:ascii="Calibri" w:hAnsi="Calibri"/>
      <w:kern w:val="0"/>
      <w:sz w:val="22"/>
      <w:szCs w:val="22"/>
    </w:rPr>
  </w:style>
  <w:style w:type="paragraph" w:styleId="3">
    <w:name w:val="toc 3"/>
    <w:basedOn w:val="a"/>
    <w:next w:val="a"/>
    <w:autoRedefine/>
    <w:uiPriority w:val="39"/>
    <w:semiHidden/>
    <w:unhideWhenUsed/>
    <w:qFormat/>
    <w:rsid w:val="005B1D0C"/>
    <w:pPr>
      <w:widowControl/>
      <w:spacing w:after="100" w:line="276" w:lineRule="auto"/>
      <w:ind w:left="440"/>
      <w:jc w:val="left"/>
    </w:pPr>
    <w:rPr>
      <w:rFonts w:ascii="Calibri" w:hAnsi="Calibri"/>
      <w:kern w:val="0"/>
      <w:sz w:val="22"/>
      <w:szCs w:val="22"/>
    </w:rPr>
  </w:style>
  <w:style w:type="character" w:styleId="ac">
    <w:name w:val="Hyperlink"/>
    <w:basedOn w:val="a0"/>
    <w:uiPriority w:val="99"/>
    <w:unhideWhenUsed/>
    <w:rsid w:val="005B1D0C"/>
    <w:rPr>
      <w:color w:val="0000FF"/>
      <w:u w:val="single"/>
    </w:rPr>
  </w:style>
</w:styles>
</file>

<file path=word/webSettings.xml><?xml version="1.0" encoding="utf-8"?>
<w:webSettings xmlns:r="http://schemas.openxmlformats.org/officeDocument/2006/relationships" xmlns:w="http://schemas.openxmlformats.org/wordprocessingml/2006/main">
  <w:divs>
    <w:div w:id="105391960">
      <w:bodyDiv w:val="1"/>
      <w:marLeft w:val="0"/>
      <w:marRight w:val="0"/>
      <w:marTop w:val="0"/>
      <w:marBottom w:val="0"/>
      <w:divBdr>
        <w:top w:val="none" w:sz="0" w:space="0" w:color="auto"/>
        <w:left w:val="none" w:sz="0" w:space="0" w:color="auto"/>
        <w:bottom w:val="none" w:sz="0" w:space="0" w:color="auto"/>
        <w:right w:val="none" w:sz="0" w:space="0" w:color="auto"/>
      </w:divBdr>
    </w:div>
    <w:div w:id="344475359">
      <w:bodyDiv w:val="1"/>
      <w:marLeft w:val="0"/>
      <w:marRight w:val="0"/>
      <w:marTop w:val="0"/>
      <w:marBottom w:val="0"/>
      <w:divBdr>
        <w:top w:val="none" w:sz="0" w:space="0" w:color="auto"/>
        <w:left w:val="none" w:sz="0" w:space="0" w:color="auto"/>
        <w:bottom w:val="none" w:sz="0" w:space="0" w:color="auto"/>
        <w:right w:val="none" w:sz="0" w:space="0" w:color="auto"/>
      </w:divBdr>
    </w:div>
    <w:div w:id="545800048">
      <w:bodyDiv w:val="1"/>
      <w:marLeft w:val="0"/>
      <w:marRight w:val="0"/>
      <w:marTop w:val="0"/>
      <w:marBottom w:val="0"/>
      <w:divBdr>
        <w:top w:val="none" w:sz="0" w:space="0" w:color="auto"/>
        <w:left w:val="none" w:sz="0" w:space="0" w:color="auto"/>
        <w:bottom w:val="none" w:sz="0" w:space="0" w:color="auto"/>
        <w:right w:val="none" w:sz="0" w:space="0" w:color="auto"/>
      </w:divBdr>
    </w:div>
    <w:div w:id="556207672">
      <w:bodyDiv w:val="1"/>
      <w:marLeft w:val="0"/>
      <w:marRight w:val="0"/>
      <w:marTop w:val="0"/>
      <w:marBottom w:val="0"/>
      <w:divBdr>
        <w:top w:val="none" w:sz="0" w:space="0" w:color="auto"/>
        <w:left w:val="none" w:sz="0" w:space="0" w:color="auto"/>
        <w:bottom w:val="none" w:sz="0" w:space="0" w:color="auto"/>
        <w:right w:val="none" w:sz="0" w:space="0" w:color="auto"/>
      </w:divBdr>
    </w:div>
    <w:div w:id="1086807795">
      <w:bodyDiv w:val="1"/>
      <w:marLeft w:val="0"/>
      <w:marRight w:val="0"/>
      <w:marTop w:val="0"/>
      <w:marBottom w:val="0"/>
      <w:divBdr>
        <w:top w:val="none" w:sz="0" w:space="0" w:color="auto"/>
        <w:left w:val="none" w:sz="0" w:space="0" w:color="auto"/>
        <w:bottom w:val="none" w:sz="0" w:space="0" w:color="auto"/>
        <w:right w:val="none" w:sz="0" w:space="0" w:color="auto"/>
      </w:divBdr>
    </w:div>
    <w:div w:id="1360742489">
      <w:bodyDiv w:val="1"/>
      <w:marLeft w:val="0"/>
      <w:marRight w:val="0"/>
      <w:marTop w:val="0"/>
      <w:marBottom w:val="0"/>
      <w:divBdr>
        <w:top w:val="none" w:sz="0" w:space="0" w:color="auto"/>
        <w:left w:val="none" w:sz="0" w:space="0" w:color="auto"/>
        <w:bottom w:val="none" w:sz="0" w:space="0" w:color="auto"/>
        <w:right w:val="none" w:sz="0" w:space="0" w:color="auto"/>
      </w:divBdr>
    </w:div>
    <w:div w:id="1746881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file:///C:\Users\JIAAN~1.CHE\AppData\Local\Temp\ksohtml\wps_clip_image-3945.pn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file:///C:\Users\JIAAN~1.CHE\AppData\Local\Temp\ksohtml\wps_clip_image-3262.p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66C4-190C-48F4-B0E1-665A9D189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18</Pages>
  <Words>1627</Words>
  <Characters>9278</Characters>
  <Application>Microsoft Office Word</Application>
  <DocSecurity>0</DocSecurity>
  <Lines>77</Lines>
  <Paragraphs>21</Paragraphs>
  <ScaleCrop>false</ScaleCrop>
  <Company>csrcsh</Company>
  <LinksUpToDate>false</LinksUpToDate>
  <CharactersWithSpaces>10884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中银国际期货有限责任公司社会责任报告</dc:title>
  <dc:creator>ouych</dc:creator>
  <cp:lastModifiedBy>常佳玉</cp:lastModifiedBy>
  <cp:revision>42</cp:revision>
  <cp:lastPrinted>2011-05-12T03:21:00Z</cp:lastPrinted>
  <dcterms:created xsi:type="dcterms:W3CDTF">2020-04-14T01:37:00Z</dcterms:created>
  <dcterms:modified xsi:type="dcterms:W3CDTF">2020-04-20T06:09:00Z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