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3BEB" w:rsidRDefault="00C52F37">
      <w:pPr>
        <w:spacing w:beforeLines="100" w:before="312" w:afterLines="100" w:after="312"/>
        <w:jc w:val="center"/>
        <w:rPr>
          <w:rFonts w:ascii="黑体" w:eastAsia="黑体" w:hAnsi="黑体"/>
          <w:b/>
          <w:bCs/>
          <w:sz w:val="36"/>
          <w:szCs w:val="36"/>
        </w:rPr>
      </w:pPr>
      <w:r>
        <w:rPr>
          <w:rFonts w:ascii="黑体" w:eastAsia="黑体" w:hAnsi="黑体" w:hint="eastAsia"/>
          <w:b/>
          <w:bCs/>
          <w:sz w:val="36"/>
          <w:szCs w:val="36"/>
        </w:rPr>
        <w:t>中</w:t>
      </w:r>
      <w:proofErr w:type="gramStart"/>
      <w:r>
        <w:rPr>
          <w:rFonts w:ascii="黑体" w:eastAsia="黑体" w:hAnsi="黑体" w:hint="eastAsia"/>
          <w:b/>
          <w:bCs/>
          <w:sz w:val="36"/>
          <w:szCs w:val="36"/>
        </w:rPr>
        <w:t>融汇</w:t>
      </w:r>
      <w:proofErr w:type="gramEnd"/>
      <w:r>
        <w:rPr>
          <w:rFonts w:ascii="黑体" w:eastAsia="黑体" w:hAnsi="黑体" w:hint="eastAsia"/>
          <w:b/>
          <w:bCs/>
          <w:sz w:val="36"/>
          <w:szCs w:val="36"/>
        </w:rPr>
        <w:t>信期货有限公司2019年度社会责任报告</w:t>
      </w:r>
    </w:p>
    <w:p w:rsidR="000D3BEB" w:rsidRDefault="00C52F37">
      <w:pPr>
        <w:pStyle w:val="2"/>
        <w:ind w:firstLine="640"/>
        <w:rPr>
          <w:rFonts w:ascii="仿宋" w:eastAsia="仿宋" w:hAnsi="仿宋"/>
          <w:sz w:val="30"/>
          <w:szCs w:val="30"/>
        </w:rPr>
      </w:pPr>
      <w:r>
        <w:rPr>
          <w:rFonts w:ascii="仿宋" w:eastAsia="仿宋" w:hAnsi="仿宋" w:cs="仿宋" w:hint="eastAsia"/>
          <w:sz w:val="32"/>
          <w:szCs w:val="32"/>
        </w:rPr>
        <w:t>2019年，全国期货市场规模稳步扩大，市场运行质量不断提升。</w:t>
      </w:r>
      <w:r>
        <w:rPr>
          <w:rFonts w:ascii="仿宋" w:eastAsia="仿宋" w:hAnsi="仿宋" w:hint="eastAsia"/>
          <w:sz w:val="30"/>
          <w:szCs w:val="30"/>
        </w:rPr>
        <w:t>期货公司A股IPO破冰，期货期权品种上市步伐加快，国际化程度全面提升，股指期货交易基本恢复常态化，指数类衍生品填补市场空白，场外业务稳中有进。进入而立之年的中国期货市场上市品种数量已达75个，商品与金融、期货与期权、场内与场外、境内与境外连通，构筑起了市场新生态。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信期货在公司董事会、经营管理层及全体员工的努力下，以合</w:t>
      </w:r>
      <w:proofErr w:type="gramStart"/>
      <w:r>
        <w:rPr>
          <w:rFonts w:ascii="仿宋" w:eastAsia="仿宋" w:hAnsi="仿宋" w:hint="eastAsia"/>
          <w:sz w:val="30"/>
          <w:szCs w:val="30"/>
        </w:rPr>
        <w:t>规</w:t>
      </w:r>
      <w:proofErr w:type="gramEnd"/>
      <w:r>
        <w:rPr>
          <w:rFonts w:ascii="仿宋" w:eastAsia="仿宋" w:hAnsi="仿宋" w:hint="eastAsia"/>
          <w:sz w:val="30"/>
          <w:szCs w:val="30"/>
        </w:rPr>
        <w:t>、创新、稳健、高质量发展为要求，积极承担社会责任，</w:t>
      </w:r>
      <w:r>
        <w:rPr>
          <w:rFonts w:ascii="仿宋" w:eastAsia="仿宋" w:hAnsi="仿宋" w:cs="仿宋" w:hint="eastAsia"/>
          <w:sz w:val="30"/>
          <w:szCs w:val="30"/>
        </w:rPr>
        <w:t>经受住了市场的考验，保持了平稳发展态势。</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一、</w:t>
      </w:r>
      <w:proofErr w:type="gramStart"/>
      <w:r>
        <w:rPr>
          <w:rFonts w:ascii="仿宋" w:eastAsia="仿宋" w:hAnsi="仿宋" w:hint="eastAsia"/>
          <w:b/>
          <w:bCs/>
          <w:sz w:val="30"/>
          <w:szCs w:val="30"/>
        </w:rPr>
        <w:t>公司愿景与</w:t>
      </w:r>
      <w:proofErr w:type="gramEnd"/>
      <w:r>
        <w:rPr>
          <w:rFonts w:ascii="仿宋" w:eastAsia="仿宋" w:hAnsi="仿宋" w:hint="eastAsia"/>
          <w:b/>
          <w:bCs/>
          <w:sz w:val="30"/>
          <w:szCs w:val="30"/>
        </w:rPr>
        <w:t>社会责任定位</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（一）</w:t>
      </w:r>
      <w:proofErr w:type="gramStart"/>
      <w:r>
        <w:rPr>
          <w:rFonts w:ascii="仿宋" w:eastAsia="仿宋" w:hAnsi="仿宋" w:hint="eastAsia"/>
          <w:b/>
          <w:bCs/>
          <w:sz w:val="30"/>
          <w:szCs w:val="30"/>
        </w:rPr>
        <w:t>公司愿景和</w:t>
      </w:r>
      <w:proofErr w:type="gramEnd"/>
      <w:r>
        <w:rPr>
          <w:rFonts w:ascii="仿宋" w:eastAsia="仿宋" w:hAnsi="仿宋" w:hint="eastAsia"/>
          <w:b/>
          <w:bCs/>
          <w:sz w:val="30"/>
          <w:szCs w:val="30"/>
        </w:rPr>
        <w:t>发展战略</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秉承为“投资交易和风险管理提供专业服务”的战略定位，构建以信息技术为支撑的运营管理平台、以风险控制为核心的风险管理平台和以多元化投资为主导的资产管理平台紧密相结合的三大体系，致力于发展成为具备交易投资与风险管理核心竞争能力的期货衍生</w:t>
      </w:r>
      <w:proofErr w:type="gramStart"/>
      <w:r>
        <w:rPr>
          <w:rFonts w:ascii="仿宋" w:eastAsia="仿宋" w:hAnsi="仿宋" w:hint="eastAsia"/>
          <w:sz w:val="30"/>
          <w:szCs w:val="30"/>
        </w:rPr>
        <w:t>品专业</w:t>
      </w:r>
      <w:proofErr w:type="gramEnd"/>
      <w:r>
        <w:rPr>
          <w:rFonts w:ascii="仿宋" w:eastAsia="仿宋" w:hAnsi="仿宋" w:hint="eastAsia"/>
          <w:sz w:val="30"/>
          <w:szCs w:val="30"/>
        </w:rPr>
        <w:t>提供商。</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（二）公司使命和价值观陈述</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公司以对内为员工搭建一个共同成长、共享发展的舞台；对外发展成为业务综合化、服务专业化的现代金融企业为使命。</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公司秉承“天道酬勤、以人为本”的文化理念和“支持政府、</w:t>
      </w:r>
      <w:r>
        <w:rPr>
          <w:rFonts w:ascii="仿宋" w:eastAsia="仿宋" w:hAnsi="仿宋" w:hint="eastAsia"/>
          <w:sz w:val="30"/>
          <w:szCs w:val="30"/>
        </w:rPr>
        <w:lastRenderedPageBreak/>
        <w:t>回报社会、造福人民”的立业宗旨，以高度的政治使命感和社会责任感，在追求企业发展的同时积极回馈社会。</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（三）公司对社会责任的认识与定位</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企业在创造经济利润，对股东承担责任的同时，也要承担对员工、客户、社区和环境的责任。作为处于社会经济大环境中的企业公民，不应把经济利润作为唯一的追求目标，更要强调在经营过程中对员工的关怀，对投资者的回报，对环境以及社会的贡献。积极</w:t>
      </w:r>
      <w:proofErr w:type="gramStart"/>
      <w:r>
        <w:rPr>
          <w:rFonts w:ascii="仿宋" w:eastAsia="仿宋" w:hAnsi="仿宋" w:hint="eastAsia"/>
          <w:sz w:val="30"/>
          <w:szCs w:val="30"/>
        </w:rPr>
        <w:t>践行</w:t>
      </w:r>
      <w:proofErr w:type="gramEnd"/>
      <w:r>
        <w:rPr>
          <w:rFonts w:ascii="仿宋" w:eastAsia="仿宋" w:hAnsi="仿宋" w:hint="eastAsia"/>
          <w:sz w:val="30"/>
          <w:szCs w:val="30"/>
        </w:rPr>
        <w:t>企业职责，以政策为导向，服务产业、服务实体经济、服务于国家的经济建设，倡导低碳生活，促进人与自然的和谐共存和社会及经济的和谐发展。</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（四）公司董事长的信</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2019年是新中国成立70周年，中国</w:t>
      </w:r>
      <w:hyperlink r:id="rId8" w:tgtFrame="http://www.qhrb.com.cn/2020/0101/_blank" w:history="1">
        <w:r>
          <w:rPr>
            <w:rFonts w:ascii="仿宋" w:eastAsia="仿宋" w:hAnsi="仿宋" w:hint="eastAsia"/>
            <w:sz w:val="30"/>
            <w:szCs w:val="30"/>
          </w:rPr>
          <w:t>期货</w:t>
        </w:r>
      </w:hyperlink>
      <w:r>
        <w:rPr>
          <w:rFonts w:ascii="仿宋" w:eastAsia="仿宋" w:hAnsi="仿宋" w:hint="eastAsia"/>
          <w:sz w:val="30"/>
          <w:szCs w:val="30"/>
        </w:rPr>
        <w:t>市场改革开放也迈上了新征程。中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与中国期货市场相伴成长，见证了中国期货市场从无到有，从小到大，从乱到治，从投机盛行到如今功能显现。在期货市场逐步规范化发展的同时，期货市场品种不断丰富，期货交易持续活跃，上市的期货和期权品种</w:t>
      </w:r>
      <w:r>
        <w:rPr>
          <w:rFonts w:ascii="仿宋" w:eastAsia="仿宋" w:hAnsi="仿宋"/>
          <w:sz w:val="30"/>
          <w:szCs w:val="30"/>
        </w:rPr>
        <w:t>覆盖了农业、金属、能源、化工、金融等国民经济的主要领域，市场交易规模大幅扩大。</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在我国经济正处于转变发展方式、优化经济结构、转换增长动力攻关期的背景下，期货市场作为价格发现、风险管理的市场，未来必将在有效防范金融风险，推动经济实现更高质量发展过程中发挥更加积极的作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回首过往，我们心潮澎湃；展望未来，我们豪情满怀，中</w:t>
      </w:r>
      <w:proofErr w:type="gramStart"/>
      <w:r>
        <w:rPr>
          <w:rFonts w:ascii="仿宋" w:eastAsia="仿宋" w:hAnsi="仿宋"/>
          <w:sz w:val="30"/>
          <w:szCs w:val="30"/>
        </w:rPr>
        <w:t>融</w:t>
      </w:r>
      <w:r>
        <w:rPr>
          <w:rFonts w:ascii="仿宋" w:eastAsia="仿宋" w:hAnsi="仿宋"/>
          <w:sz w:val="30"/>
          <w:szCs w:val="30"/>
        </w:rPr>
        <w:lastRenderedPageBreak/>
        <w:t>汇</w:t>
      </w:r>
      <w:proofErr w:type="gramEnd"/>
      <w:r>
        <w:rPr>
          <w:rFonts w:ascii="仿宋" w:eastAsia="仿宋" w:hAnsi="仿宋"/>
          <w:sz w:val="30"/>
          <w:szCs w:val="30"/>
        </w:rPr>
        <w:t>信期货将依托强大的股东背景和集团化优势，秉承“发展成为具备交易投资与风险管理核心竞争能力的期货衍生品专业提供商”的战略定位，明晰历史使命、实践内涵发展，与资本市场、期货行业、</w:t>
      </w:r>
      <w:proofErr w:type="gramStart"/>
      <w:r>
        <w:rPr>
          <w:rFonts w:ascii="仿宋" w:eastAsia="仿宋" w:hAnsi="仿宋"/>
          <w:sz w:val="30"/>
          <w:szCs w:val="30"/>
        </w:rPr>
        <w:t>广大合作</w:t>
      </w:r>
      <w:proofErr w:type="gramEnd"/>
      <w:r>
        <w:rPr>
          <w:rFonts w:ascii="仿宋" w:eastAsia="仿宋" w:hAnsi="仿宋"/>
          <w:sz w:val="30"/>
          <w:szCs w:val="30"/>
        </w:rPr>
        <w:t>伙伴和投资者共同见证和分享成长的喜悦！</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二、公司概况</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（一）公司概况</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信期货前身为吉林金昌期货有限公司，是经中国证监会批准设立的金融机构，成立于</w:t>
      </w:r>
      <w:r>
        <w:rPr>
          <w:rFonts w:ascii="仿宋" w:eastAsia="仿宋" w:hAnsi="仿宋"/>
          <w:sz w:val="30"/>
          <w:szCs w:val="30"/>
        </w:rPr>
        <w:t>1995年，注册资本为人民币</w:t>
      </w:r>
      <w:r>
        <w:rPr>
          <w:rFonts w:ascii="仿宋" w:eastAsia="仿宋" w:hAnsi="仿宋" w:hint="eastAsia"/>
          <w:sz w:val="30"/>
          <w:szCs w:val="30"/>
        </w:rPr>
        <w:t>3</w:t>
      </w:r>
      <w:r>
        <w:rPr>
          <w:rFonts w:ascii="仿宋" w:eastAsia="仿宋" w:hAnsi="仿宋"/>
          <w:sz w:val="30"/>
          <w:szCs w:val="30"/>
        </w:rPr>
        <w:t>亿元。中</w:t>
      </w:r>
      <w:proofErr w:type="gramStart"/>
      <w:r>
        <w:rPr>
          <w:rFonts w:ascii="仿宋" w:eastAsia="仿宋" w:hAnsi="仿宋"/>
          <w:sz w:val="30"/>
          <w:szCs w:val="30"/>
        </w:rPr>
        <w:t>融汇</w:t>
      </w:r>
      <w:proofErr w:type="gramEnd"/>
      <w:r>
        <w:rPr>
          <w:rFonts w:ascii="仿宋" w:eastAsia="仿宋" w:hAnsi="仿宋"/>
          <w:sz w:val="30"/>
          <w:szCs w:val="30"/>
        </w:rPr>
        <w:t>信期货是上海期货交易所、大连商品交易所、郑州商品交易所的会员、中国金融期货交易所交易结算会员、中国期货业协会会员和上海国际能源交易中心会员，经营范围包括商品期货经纪、金融期货经纪、期货投资咨询和资产管理。在</w:t>
      </w:r>
      <w:r>
        <w:rPr>
          <w:rFonts w:ascii="仿宋" w:eastAsia="仿宋" w:hAnsi="仿宋" w:hint="eastAsia"/>
          <w:sz w:val="30"/>
          <w:szCs w:val="30"/>
        </w:rPr>
        <w:t>青岛、</w:t>
      </w:r>
      <w:r>
        <w:rPr>
          <w:rFonts w:ascii="仿宋" w:eastAsia="仿宋" w:hAnsi="仿宋"/>
          <w:sz w:val="30"/>
          <w:szCs w:val="30"/>
        </w:rPr>
        <w:t>上海、北京、杭州设有</w:t>
      </w:r>
      <w:r>
        <w:rPr>
          <w:rFonts w:ascii="仿宋" w:eastAsia="仿宋" w:hAnsi="仿宋" w:hint="eastAsia"/>
          <w:sz w:val="30"/>
          <w:szCs w:val="30"/>
        </w:rPr>
        <w:t>分支机构</w:t>
      </w:r>
      <w:r>
        <w:rPr>
          <w:rFonts w:ascii="仿宋" w:eastAsia="仿宋" w:hAnsi="仿宋"/>
          <w:sz w:val="30"/>
          <w:szCs w:val="30"/>
        </w:rPr>
        <w:t>，在上海自由贸易试验区设有风险管理子公司</w:t>
      </w:r>
      <w:proofErr w:type="gramStart"/>
      <w:r>
        <w:rPr>
          <w:rFonts w:ascii="仿宋" w:eastAsia="仿宋" w:hAnsi="仿宋"/>
          <w:sz w:val="30"/>
          <w:szCs w:val="30"/>
        </w:rPr>
        <w:t>汇信融植资本</w:t>
      </w:r>
      <w:proofErr w:type="gramEnd"/>
      <w:r>
        <w:rPr>
          <w:rFonts w:ascii="仿宋" w:eastAsia="仿宋" w:hAnsi="仿宋"/>
          <w:sz w:val="30"/>
          <w:szCs w:val="30"/>
        </w:rPr>
        <w:t>管理有限公司。</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（二）公司大事记</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2019年3月8日，公司营业场所变更至中国（上海）自由贸易</w:t>
      </w:r>
      <w:proofErr w:type="gramStart"/>
      <w:r>
        <w:rPr>
          <w:rFonts w:ascii="仿宋" w:eastAsia="仿宋" w:hAnsi="仿宋" w:hint="eastAsia"/>
          <w:sz w:val="30"/>
          <w:szCs w:val="30"/>
        </w:rPr>
        <w:t>试验区东育路</w:t>
      </w:r>
      <w:proofErr w:type="gramEnd"/>
      <w:r>
        <w:rPr>
          <w:rFonts w:ascii="仿宋" w:eastAsia="仿宋" w:hAnsi="仿宋" w:hint="eastAsia"/>
          <w:sz w:val="30"/>
          <w:szCs w:val="30"/>
        </w:rPr>
        <w:t>255弄5号29层。</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2019年8月15日，公司注册资本变更为3亿元人民币。</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2019年</w:t>
      </w:r>
      <w:r>
        <w:rPr>
          <w:rFonts w:ascii="仿宋" w:eastAsia="仿宋" w:hAnsi="仿宋"/>
          <w:sz w:val="30"/>
          <w:szCs w:val="30"/>
        </w:rPr>
        <w:t>8</w:t>
      </w:r>
      <w:r>
        <w:rPr>
          <w:rFonts w:ascii="仿宋" w:eastAsia="仿宋" w:hAnsi="仿宋" w:hint="eastAsia"/>
          <w:sz w:val="30"/>
          <w:szCs w:val="30"/>
        </w:rPr>
        <w:t>月</w:t>
      </w:r>
      <w:r>
        <w:rPr>
          <w:rFonts w:ascii="仿宋" w:eastAsia="仿宋" w:hAnsi="仿宋"/>
          <w:sz w:val="30"/>
          <w:szCs w:val="30"/>
        </w:rPr>
        <w:t>16</w:t>
      </w:r>
      <w:r>
        <w:rPr>
          <w:rFonts w:ascii="仿宋" w:eastAsia="仿宋" w:hAnsi="仿宋" w:hint="eastAsia"/>
          <w:sz w:val="30"/>
          <w:szCs w:val="30"/>
        </w:rPr>
        <w:t>日，完成公司信息系统的安全等级定级（交易系统三级、网站系统二级）并通过了认证。</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2019年12月10日，成立中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信期货有限公司北京分公司。</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（三）公司利益相关者关系</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信期货充分尊重和维护股东、员工以及投资者等利益相关者的合法权益，通过完善法人治理结构，加强制度建设、规范化经营，最大限度地保障各方的合法权益，推动公司持续健康地发展。</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（四）本报告内容的范围和概况</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本报告以中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w:t>
      </w:r>
      <w:r>
        <w:rPr>
          <w:rFonts w:ascii="仿宋" w:eastAsia="仿宋" w:hAnsi="仿宋"/>
          <w:sz w:val="30"/>
          <w:szCs w:val="30"/>
        </w:rPr>
        <w:t>201</w:t>
      </w:r>
      <w:r>
        <w:rPr>
          <w:rFonts w:ascii="仿宋" w:eastAsia="仿宋" w:hAnsi="仿宋" w:hint="eastAsia"/>
          <w:sz w:val="30"/>
          <w:szCs w:val="30"/>
        </w:rPr>
        <w:t>9</w:t>
      </w:r>
      <w:r>
        <w:rPr>
          <w:rFonts w:ascii="仿宋" w:eastAsia="仿宋" w:hAnsi="仿宋"/>
          <w:sz w:val="30"/>
          <w:szCs w:val="30"/>
        </w:rPr>
        <w:t>年的工作为重点，真实客观地记录了公司在报告期内履行社会责任方面的重要信息，详尽地介绍了公司承担经济责任、社会责任和环境责任的活动及表现。时间范围为201</w:t>
      </w:r>
      <w:r>
        <w:rPr>
          <w:rFonts w:ascii="仿宋" w:eastAsia="仿宋" w:hAnsi="仿宋" w:hint="eastAsia"/>
          <w:sz w:val="30"/>
          <w:szCs w:val="30"/>
        </w:rPr>
        <w:t>9</w:t>
      </w:r>
      <w:r>
        <w:rPr>
          <w:rFonts w:ascii="仿宋" w:eastAsia="仿宋" w:hAnsi="仿宋"/>
          <w:sz w:val="30"/>
          <w:szCs w:val="30"/>
        </w:rPr>
        <w:t>年1月1日至201</w:t>
      </w:r>
      <w:r>
        <w:rPr>
          <w:rFonts w:ascii="仿宋" w:eastAsia="仿宋" w:hAnsi="仿宋" w:hint="eastAsia"/>
          <w:sz w:val="30"/>
          <w:szCs w:val="30"/>
        </w:rPr>
        <w:t>9</w:t>
      </w:r>
      <w:r>
        <w:rPr>
          <w:rFonts w:ascii="仿宋" w:eastAsia="仿宋" w:hAnsi="仿宋"/>
          <w:sz w:val="30"/>
          <w:szCs w:val="30"/>
        </w:rPr>
        <w:t>年12月31日。</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本报告依据上海市期货同业公会发布的《上海期货公司社会责任报告编制框架指引》编制，报告内容符合指引中的有关要求。</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三、公司治理结构与管理体制</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按《公司法》和其他相关法律法规的规定建立了股东会、董事会与监事等管理体系。制定了议事规则，完善了议事制度和决策程序，股东按其出资比例享有权利并承担义务，明确界定了股东会、董事会、监事、经理层之间的职责权限，形成公司内部有效的分离与制衡机制。</w:t>
      </w:r>
      <w:r>
        <w:rPr>
          <w:rFonts w:ascii="仿宋" w:eastAsia="仿宋" w:hAnsi="仿宋"/>
          <w:sz w:val="30"/>
          <w:szCs w:val="30"/>
        </w:rPr>
        <w:t>201</w:t>
      </w:r>
      <w:r>
        <w:rPr>
          <w:rFonts w:ascii="仿宋" w:eastAsia="仿宋" w:hAnsi="仿宋" w:hint="eastAsia"/>
          <w:sz w:val="30"/>
          <w:szCs w:val="30"/>
        </w:rPr>
        <w:t>9</w:t>
      </w:r>
      <w:r>
        <w:rPr>
          <w:rFonts w:ascii="仿宋" w:eastAsia="仿宋" w:hAnsi="仿宋"/>
          <w:sz w:val="30"/>
          <w:szCs w:val="30"/>
        </w:rPr>
        <w:t>年公司继续完善法人治理结构，公司股东会、董事会、监事严格按照《公司法》及公司章程的规定履行职责。</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（一）股东责权</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根据《公司法》及《中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信期货有限公司章程》的相关规定，公司股东享有以下权利：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1.依法享有资产收益、参与重大决策和选择管理者等权利；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lastRenderedPageBreak/>
        <w:t>2.依法享有参加或推选代表参加股东会的权利，并根据其出资比例享有表决权，公司的所有股东应享有平等地位，中小股东在公司事务中的合法地位与权利应受到充分尊重与保护，大股东不得利用其特殊地位损害公司和其他股东的合法权益；</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3.单独或者合并拥有公司百分之十以上表决权的股东，有权向股东会提出审议事项；</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4.依法享有查阅股东会会议记录和公司财务会计报告的权利；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5.依法享有按照实缴的出资比例分取红利的权利；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6.公司新增资本时，依法享有优先按照实缴的出资比例认缴新增资本的权利；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7.按照法律法规和公司章程的规定，享有转让全部或部分股权的权利；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8.依法享有优先购买公司其他股东转让的股权的权利；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9.依法享有选举董事会成员、监事的权利；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10.依据《公司法》的有关规定，享有提请人民法院撤销股东会、董事会违反法律、行政法规、公司章程所做出的决议、决定或者提请人民法院解散公司的权利；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11.公司清算后，依法享有依照出资比例分配公司的剩余财产的权利；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12.依法享有对公司重大事项应有的充分知情权和参与权；</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13</w:t>
      </w:r>
      <w:r>
        <w:rPr>
          <w:rFonts w:ascii="仿宋" w:eastAsia="仿宋" w:hAnsi="仿宋" w:hint="eastAsia"/>
          <w:sz w:val="30"/>
          <w:szCs w:val="30"/>
        </w:rPr>
        <w:t>.</w:t>
      </w:r>
      <w:r>
        <w:rPr>
          <w:rFonts w:ascii="仿宋" w:eastAsia="仿宋" w:hAnsi="仿宋"/>
          <w:sz w:val="30"/>
          <w:szCs w:val="30"/>
        </w:rPr>
        <w:t>法律法规及公司章程规定的其他权利。</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（二）董事会、监事、高级管理人员</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根据公司章程，公司股东会由全体股东组成，公司与股东在业务、人员、资产、财务、经营场所等方面严格分开，独立经营，独立核算，</w:t>
      </w:r>
      <w:r>
        <w:rPr>
          <w:rFonts w:ascii="仿宋" w:eastAsia="仿宋" w:hAnsi="仿宋"/>
          <w:sz w:val="30"/>
          <w:szCs w:val="30"/>
        </w:rPr>
        <w:t>201</w:t>
      </w:r>
      <w:r>
        <w:rPr>
          <w:rFonts w:ascii="仿宋" w:eastAsia="仿宋" w:hAnsi="仿宋" w:hint="eastAsia"/>
          <w:sz w:val="30"/>
          <w:szCs w:val="30"/>
        </w:rPr>
        <w:t>9</w:t>
      </w:r>
      <w:r>
        <w:rPr>
          <w:rFonts w:ascii="仿宋" w:eastAsia="仿宋" w:hAnsi="仿宋"/>
          <w:sz w:val="30"/>
          <w:szCs w:val="30"/>
        </w:rPr>
        <w:t>年共召开股东会</w:t>
      </w:r>
      <w:r>
        <w:rPr>
          <w:rFonts w:ascii="仿宋" w:eastAsia="仿宋" w:hAnsi="仿宋" w:hint="eastAsia"/>
          <w:sz w:val="30"/>
          <w:szCs w:val="30"/>
        </w:rPr>
        <w:t>4</w:t>
      </w:r>
      <w:r>
        <w:rPr>
          <w:rFonts w:ascii="仿宋" w:eastAsia="仿宋" w:hAnsi="仿宋"/>
          <w:sz w:val="30"/>
          <w:szCs w:val="30"/>
        </w:rPr>
        <w:t>次；公司董事会有成员</w:t>
      </w:r>
      <w:r>
        <w:rPr>
          <w:rFonts w:ascii="仿宋" w:eastAsia="仿宋" w:hAnsi="仿宋" w:hint="eastAsia"/>
          <w:sz w:val="30"/>
          <w:szCs w:val="30"/>
        </w:rPr>
        <w:t>3</w:t>
      </w:r>
      <w:r>
        <w:rPr>
          <w:rFonts w:ascii="仿宋" w:eastAsia="仿宋" w:hAnsi="仿宋"/>
          <w:sz w:val="30"/>
          <w:szCs w:val="30"/>
        </w:rPr>
        <w:t>名，均由股东会选举产生，董事长为法定代表人，201</w:t>
      </w:r>
      <w:r>
        <w:rPr>
          <w:rFonts w:ascii="仿宋" w:eastAsia="仿宋" w:hAnsi="仿宋" w:hint="eastAsia"/>
          <w:sz w:val="30"/>
          <w:szCs w:val="30"/>
        </w:rPr>
        <w:t>9</w:t>
      </w:r>
      <w:r>
        <w:rPr>
          <w:rFonts w:ascii="仿宋" w:eastAsia="仿宋" w:hAnsi="仿宋"/>
          <w:sz w:val="30"/>
          <w:szCs w:val="30"/>
        </w:rPr>
        <w:t>年共召开董事会</w:t>
      </w:r>
      <w:r>
        <w:rPr>
          <w:rFonts w:ascii="仿宋" w:eastAsia="仿宋" w:hAnsi="仿宋" w:hint="eastAsia"/>
          <w:sz w:val="30"/>
          <w:szCs w:val="30"/>
        </w:rPr>
        <w:t>6</w:t>
      </w:r>
      <w:r>
        <w:rPr>
          <w:rFonts w:ascii="仿宋" w:eastAsia="仿宋" w:hAnsi="仿宋"/>
          <w:sz w:val="30"/>
          <w:szCs w:val="30"/>
        </w:rPr>
        <w:t>次；监事1名，成员由股东会选举产生。截止报告日，公司有高级管理人员</w:t>
      </w:r>
      <w:r>
        <w:rPr>
          <w:rFonts w:ascii="仿宋" w:eastAsia="仿宋" w:hAnsi="仿宋" w:hint="eastAsia"/>
          <w:sz w:val="30"/>
          <w:szCs w:val="30"/>
        </w:rPr>
        <w:t>11</w:t>
      </w:r>
      <w:r>
        <w:rPr>
          <w:rFonts w:ascii="仿宋" w:eastAsia="仿宋" w:hAnsi="仿宋"/>
          <w:sz w:val="30"/>
          <w:szCs w:val="30"/>
        </w:rPr>
        <w:t>名，其中总经理1名，副总经理</w:t>
      </w:r>
      <w:r>
        <w:rPr>
          <w:rFonts w:ascii="仿宋" w:eastAsia="仿宋" w:hAnsi="仿宋" w:hint="eastAsia"/>
          <w:sz w:val="30"/>
          <w:szCs w:val="30"/>
        </w:rPr>
        <w:t>3</w:t>
      </w:r>
      <w:r>
        <w:rPr>
          <w:rFonts w:ascii="仿宋" w:eastAsia="仿宋" w:hAnsi="仿宋"/>
          <w:sz w:val="30"/>
          <w:szCs w:val="30"/>
        </w:rPr>
        <w:t>名，首席风险官1名，财务总监1名，</w:t>
      </w:r>
      <w:r>
        <w:rPr>
          <w:rFonts w:ascii="仿宋" w:eastAsia="仿宋" w:hAnsi="仿宋" w:hint="eastAsia"/>
          <w:sz w:val="30"/>
          <w:szCs w:val="30"/>
        </w:rPr>
        <w:t>分支机构</w:t>
      </w:r>
      <w:r>
        <w:rPr>
          <w:rFonts w:ascii="仿宋" w:eastAsia="仿宋" w:hAnsi="仿宋"/>
          <w:sz w:val="30"/>
          <w:szCs w:val="30"/>
        </w:rPr>
        <w:t>负责人</w:t>
      </w:r>
      <w:r>
        <w:rPr>
          <w:rFonts w:ascii="仿宋" w:eastAsia="仿宋" w:hAnsi="仿宋" w:hint="eastAsia"/>
          <w:sz w:val="30"/>
          <w:szCs w:val="30"/>
        </w:rPr>
        <w:t>5</w:t>
      </w:r>
      <w:r>
        <w:rPr>
          <w:rFonts w:ascii="仿宋" w:eastAsia="仿宋" w:hAnsi="仿宋"/>
          <w:sz w:val="30"/>
          <w:szCs w:val="30"/>
        </w:rPr>
        <w:t>名。公司高级管理</w:t>
      </w:r>
      <w:proofErr w:type="gramStart"/>
      <w:r>
        <w:rPr>
          <w:rFonts w:ascii="仿宋" w:eastAsia="仿宋" w:hAnsi="仿宋"/>
          <w:sz w:val="30"/>
          <w:szCs w:val="30"/>
        </w:rPr>
        <w:t>层依据</w:t>
      </w:r>
      <w:proofErr w:type="gramEnd"/>
      <w:r>
        <w:rPr>
          <w:rFonts w:ascii="仿宋" w:eastAsia="仿宋" w:hAnsi="仿宋"/>
          <w:sz w:val="30"/>
          <w:szCs w:val="30"/>
        </w:rPr>
        <w:t>法律、法规、公司章程以及董事会的授权行使职权，组织开展经营管理活动。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截至目前，根据行业特点，公司成立</w:t>
      </w:r>
      <w:r>
        <w:rPr>
          <w:rFonts w:ascii="仿宋" w:eastAsia="仿宋" w:hAnsi="仿宋"/>
          <w:sz w:val="30"/>
          <w:szCs w:val="30"/>
        </w:rPr>
        <w:t>IT治理委员会、风险管理委员会，公司下设有合</w:t>
      </w:r>
      <w:proofErr w:type="gramStart"/>
      <w:r>
        <w:rPr>
          <w:rFonts w:ascii="仿宋" w:eastAsia="仿宋" w:hAnsi="仿宋"/>
          <w:sz w:val="30"/>
          <w:szCs w:val="30"/>
        </w:rPr>
        <w:t>规</w:t>
      </w:r>
      <w:proofErr w:type="gramEnd"/>
      <w:r>
        <w:rPr>
          <w:rFonts w:ascii="仿宋" w:eastAsia="仿宋" w:hAnsi="仿宋"/>
          <w:sz w:val="30"/>
          <w:szCs w:val="30"/>
        </w:rPr>
        <w:t>稽核部、反洗钱管理部、结算交割部、运营服务中心、综合管理部、人力资源部、信息技术部、计划财务部、投资研究中心、资产管理部、财富管理部</w:t>
      </w:r>
      <w:r>
        <w:rPr>
          <w:rFonts w:ascii="仿宋" w:eastAsia="仿宋" w:hAnsi="仿宋" w:hint="eastAsia"/>
          <w:sz w:val="30"/>
          <w:szCs w:val="30"/>
        </w:rPr>
        <w:t>（筹）</w:t>
      </w:r>
      <w:r>
        <w:rPr>
          <w:rFonts w:ascii="仿宋" w:eastAsia="仿宋" w:hAnsi="仿宋"/>
          <w:sz w:val="30"/>
          <w:szCs w:val="30"/>
        </w:rPr>
        <w:t>、营销管理部、国际业务部</w:t>
      </w:r>
      <w:r>
        <w:rPr>
          <w:rFonts w:ascii="仿宋" w:eastAsia="仿宋" w:hAnsi="仿宋" w:hint="eastAsia"/>
          <w:sz w:val="30"/>
          <w:szCs w:val="30"/>
        </w:rPr>
        <w:t>（筹）</w:t>
      </w:r>
      <w:r>
        <w:rPr>
          <w:rFonts w:ascii="仿宋" w:eastAsia="仿宋" w:hAnsi="仿宋"/>
          <w:sz w:val="30"/>
          <w:szCs w:val="30"/>
        </w:rPr>
        <w:t>、</w:t>
      </w:r>
      <w:r>
        <w:rPr>
          <w:rFonts w:ascii="仿宋" w:eastAsia="仿宋" w:hAnsi="仿宋" w:hint="eastAsia"/>
          <w:sz w:val="30"/>
          <w:szCs w:val="30"/>
        </w:rPr>
        <w:t>事业部、分支机构</w:t>
      </w:r>
      <w:r>
        <w:rPr>
          <w:rFonts w:ascii="仿宋" w:eastAsia="仿宋" w:hAnsi="仿宋"/>
          <w:sz w:val="30"/>
          <w:szCs w:val="30"/>
        </w:rPr>
        <w:t>、机构业务部共1</w:t>
      </w:r>
      <w:r>
        <w:rPr>
          <w:rFonts w:ascii="仿宋" w:eastAsia="仿宋" w:hAnsi="仿宋" w:hint="eastAsia"/>
          <w:sz w:val="30"/>
          <w:szCs w:val="30"/>
        </w:rPr>
        <w:t>6</w:t>
      </w:r>
      <w:r>
        <w:rPr>
          <w:rFonts w:ascii="仿宋" w:eastAsia="仿宋" w:hAnsi="仿宋"/>
          <w:sz w:val="30"/>
          <w:szCs w:val="30"/>
        </w:rPr>
        <w:t>个部门架构（</w:t>
      </w:r>
      <w:proofErr w:type="gramStart"/>
      <w:r>
        <w:rPr>
          <w:rFonts w:ascii="仿宋" w:eastAsia="仿宋" w:hAnsi="仿宋"/>
          <w:sz w:val="30"/>
          <w:szCs w:val="30"/>
        </w:rPr>
        <w:t>附公司</w:t>
      </w:r>
      <w:proofErr w:type="gramEnd"/>
      <w:r>
        <w:rPr>
          <w:rFonts w:ascii="仿宋" w:eastAsia="仿宋" w:hAnsi="仿宋"/>
          <w:sz w:val="30"/>
          <w:szCs w:val="30"/>
        </w:rPr>
        <w:t>组织架构图）。</w:t>
      </w:r>
    </w:p>
    <w:p w:rsidR="000D3BEB" w:rsidRDefault="00C52F37">
      <w:pPr>
        <w:adjustRightInd w:val="0"/>
        <w:snapToGrid w:val="0"/>
        <w:spacing w:line="360" w:lineRule="auto"/>
        <w:jc w:val="center"/>
        <w:rPr>
          <w:rFonts w:ascii="仿宋" w:eastAsia="仿宋" w:hAnsi="仿宋"/>
          <w:sz w:val="30"/>
          <w:szCs w:val="30"/>
        </w:rPr>
      </w:pPr>
      <w:r>
        <w:rPr>
          <w:rFonts w:ascii="仿宋" w:eastAsia="仿宋" w:hAnsi="仿宋"/>
          <w:noProof/>
          <w:sz w:val="30"/>
          <w:szCs w:val="30"/>
        </w:rPr>
        <w:lastRenderedPageBreak/>
        <w:drawing>
          <wp:inline distT="0" distB="0" distL="0" distR="0">
            <wp:extent cx="5351145" cy="340042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461" t="10917" r="16206" b="8497"/>
                    <a:stretch>
                      <a:fillRect/>
                    </a:stretch>
                  </pic:blipFill>
                  <pic:spPr>
                    <a:xfrm>
                      <a:off x="0" y="0"/>
                      <a:ext cx="5378780" cy="3417908"/>
                    </a:xfrm>
                    <a:prstGeom prst="rect">
                      <a:avLst/>
                    </a:prstGeom>
                    <a:noFill/>
                    <a:ln>
                      <a:noFill/>
                    </a:ln>
                  </pic:spPr>
                </pic:pic>
              </a:graphicData>
            </a:graphic>
          </wp:inline>
        </w:drawing>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公司董事、监事、高级管理人员的基本情况：（截至2020年4月29日）</w:t>
      </w:r>
    </w:p>
    <w:tbl>
      <w:tblPr>
        <w:tblStyle w:val="a9"/>
        <w:tblW w:w="5098" w:type="pct"/>
        <w:jc w:val="center"/>
        <w:tblLook w:val="04A0" w:firstRow="1" w:lastRow="0" w:firstColumn="1" w:lastColumn="0" w:noHBand="0" w:noVBand="1"/>
      </w:tblPr>
      <w:tblGrid>
        <w:gridCol w:w="1142"/>
        <w:gridCol w:w="731"/>
        <w:gridCol w:w="2353"/>
        <w:gridCol w:w="2709"/>
        <w:gridCol w:w="1524"/>
      </w:tblGrid>
      <w:tr w:rsidR="000D3BEB">
        <w:trPr>
          <w:trHeight w:val="563"/>
          <w:jc w:val="center"/>
        </w:trPr>
        <w:tc>
          <w:tcPr>
            <w:tcW w:w="1141" w:type="dxa"/>
            <w:vAlign w:val="center"/>
          </w:tcPr>
          <w:p w:rsidR="000D3BEB" w:rsidRDefault="00C52F37">
            <w:pPr>
              <w:adjustRightInd w:val="0"/>
              <w:snapToGrid w:val="0"/>
              <w:jc w:val="center"/>
              <w:rPr>
                <w:rFonts w:ascii="仿宋" w:eastAsia="仿宋" w:hAnsi="仿宋"/>
                <w:b/>
                <w:bCs/>
                <w:szCs w:val="21"/>
              </w:rPr>
            </w:pPr>
            <w:r>
              <w:rPr>
                <w:rFonts w:ascii="仿宋" w:eastAsia="仿宋" w:hAnsi="仿宋" w:hint="eastAsia"/>
                <w:b/>
                <w:bCs/>
                <w:szCs w:val="21"/>
              </w:rPr>
              <w:t>姓名</w:t>
            </w:r>
          </w:p>
        </w:tc>
        <w:tc>
          <w:tcPr>
            <w:tcW w:w="731" w:type="dxa"/>
            <w:vAlign w:val="center"/>
          </w:tcPr>
          <w:p w:rsidR="000D3BEB" w:rsidRDefault="00C52F37">
            <w:pPr>
              <w:adjustRightInd w:val="0"/>
              <w:snapToGrid w:val="0"/>
              <w:jc w:val="center"/>
              <w:rPr>
                <w:rFonts w:ascii="仿宋" w:eastAsia="仿宋" w:hAnsi="仿宋"/>
                <w:b/>
                <w:bCs/>
                <w:szCs w:val="21"/>
              </w:rPr>
            </w:pPr>
            <w:r>
              <w:rPr>
                <w:rFonts w:ascii="仿宋" w:eastAsia="仿宋" w:hAnsi="仿宋" w:hint="eastAsia"/>
                <w:b/>
                <w:bCs/>
                <w:szCs w:val="21"/>
              </w:rPr>
              <w:t>性别</w:t>
            </w:r>
          </w:p>
        </w:tc>
        <w:tc>
          <w:tcPr>
            <w:tcW w:w="2353" w:type="dxa"/>
            <w:vAlign w:val="center"/>
          </w:tcPr>
          <w:p w:rsidR="000D3BEB" w:rsidRDefault="00C52F37">
            <w:pPr>
              <w:adjustRightInd w:val="0"/>
              <w:snapToGrid w:val="0"/>
              <w:jc w:val="center"/>
              <w:rPr>
                <w:rFonts w:ascii="仿宋" w:eastAsia="仿宋" w:hAnsi="仿宋"/>
                <w:b/>
                <w:bCs/>
                <w:szCs w:val="21"/>
              </w:rPr>
            </w:pPr>
            <w:r>
              <w:rPr>
                <w:rFonts w:ascii="仿宋" w:eastAsia="仿宋" w:hAnsi="仿宋" w:hint="eastAsia"/>
                <w:b/>
                <w:bCs/>
                <w:szCs w:val="21"/>
              </w:rPr>
              <w:t>现任职务</w:t>
            </w:r>
          </w:p>
        </w:tc>
        <w:tc>
          <w:tcPr>
            <w:tcW w:w="2709" w:type="dxa"/>
            <w:vAlign w:val="center"/>
          </w:tcPr>
          <w:p w:rsidR="000D3BEB" w:rsidRDefault="00C52F37">
            <w:pPr>
              <w:adjustRightInd w:val="0"/>
              <w:snapToGrid w:val="0"/>
              <w:jc w:val="center"/>
              <w:rPr>
                <w:rFonts w:ascii="仿宋" w:eastAsia="仿宋" w:hAnsi="仿宋"/>
                <w:b/>
                <w:bCs/>
                <w:szCs w:val="21"/>
              </w:rPr>
            </w:pPr>
            <w:r>
              <w:rPr>
                <w:rFonts w:ascii="仿宋" w:eastAsia="仿宋" w:hAnsi="仿宋" w:hint="eastAsia"/>
                <w:b/>
                <w:bCs/>
                <w:szCs w:val="21"/>
              </w:rPr>
              <w:t>高</w:t>
            </w:r>
            <w:proofErr w:type="gramStart"/>
            <w:r>
              <w:rPr>
                <w:rFonts w:ascii="仿宋" w:eastAsia="仿宋" w:hAnsi="仿宋" w:hint="eastAsia"/>
                <w:b/>
                <w:bCs/>
                <w:szCs w:val="21"/>
              </w:rPr>
              <w:t>管资格</w:t>
            </w:r>
            <w:proofErr w:type="gramEnd"/>
            <w:r>
              <w:rPr>
                <w:rFonts w:ascii="仿宋" w:eastAsia="仿宋" w:hAnsi="仿宋" w:hint="eastAsia"/>
                <w:b/>
                <w:bCs/>
                <w:szCs w:val="21"/>
              </w:rPr>
              <w:t>批准文号</w:t>
            </w:r>
          </w:p>
        </w:tc>
        <w:tc>
          <w:tcPr>
            <w:tcW w:w="1524" w:type="dxa"/>
            <w:vAlign w:val="center"/>
          </w:tcPr>
          <w:p w:rsidR="000D3BEB" w:rsidRDefault="00C52F37">
            <w:pPr>
              <w:adjustRightInd w:val="0"/>
              <w:snapToGrid w:val="0"/>
              <w:jc w:val="center"/>
              <w:rPr>
                <w:rFonts w:ascii="仿宋" w:eastAsia="仿宋" w:hAnsi="仿宋"/>
                <w:b/>
                <w:bCs/>
                <w:szCs w:val="21"/>
              </w:rPr>
            </w:pPr>
            <w:r>
              <w:rPr>
                <w:rFonts w:ascii="仿宋" w:eastAsia="仿宋" w:hAnsi="仿宋" w:hint="eastAsia"/>
                <w:b/>
                <w:bCs/>
                <w:szCs w:val="21"/>
              </w:rPr>
              <w:t>任现职时间</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proofErr w:type="gramStart"/>
            <w:r>
              <w:rPr>
                <w:rFonts w:ascii="仿宋" w:eastAsia="仿宋" w:hAnsi="仿宋" w:hint="eastAsia"/>
                <w:szCs w:val="21"/>
              </w:rPr>
              <w:t>孔宪舒</w:t>
            </w:r>
            <w:proofErr w:type="gramEnd"/>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董事长</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证书编号：200410</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2013/7/22</w:t>
            </w:r>
          </w:p>
        </w:tc>
      </w:tr>
      <w:tr w:rsidR="000D3BEB">
        <w:trPr>
          <w:trHeight w:val="563"/>
          <w:jc w:val="center"/>
        </w:trPr>
        <w:tc>
          <w:tcPr>
            <w:tcW w:w="1141" w:type="dxa"/>
            <w:vAlign w:val="center"/>
          </w:tcPr>
          <w:p w:rsidR="000D3BEB" w:rsidRDefault="0058780A">
            <w:pPr>
              <w:adjustRightInd w:val="0"/>
              <w:snapToGrid w:val="0"/>
              <w:jc w:val="center"/>
              <w:rPr>
                <w:rFonts w:ascii="仿宋" w:eastAsia="仿宋" w:hAnsi="仿宋"/>
                <w:szCs w:val="21"/>
              </w:rPr>
            </w:pPr>
            <w:r>
              <w:rPr>
                <w:rFonts w:ascii="仿宋" w:eastAsia="仿宋" w:hAnsi="仿宋" w:hint="eastAsia"/>
                <w:szCs w:val="21"/>
              </w:rPr>
              <w:t>李 琦</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董事</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w:t>
            </w:r>
            <w:r w:rsidR="0058780A">
              <w:rPr>
                <w:rFonts w:ascii="仿宋" w:eastAsia="仿宋" w:hAnsi="仿宋" w:hint="eastAsia"/>
                <w:szCs w:val="21"/>
              </w:rPr>
              <w:t>20</w:t>
            </w:r>
            <w:r>
              <w:rPr>
                <w:rFonts w:ascii="仿宋" w:eastAsia="仿宋" w:hAnsi="仿宋" w:hint="eastAsia"/>
                <w:szCs w:val="21"/>
              </w:rPr>
              <w:t>/</w:t>
            </w:r>
            <w:r w:rsidR="0058780A">
              <w:rPr>
                <w:rFonts w:ascii="仿宋" w:eastAsia="仿宋" w:hAnsi="仿宋" w:hint="eastAsia"/>
                <w:szCs w:val="21"/>
              </w:rPr>
              <w:t>4</w:t>
            </w:r>
            <w:r>
              <w:rPr>
                <w:rFonts w:ascii="仿宋" w:eastAsia="仿宋" w:hAnsi="仿宋" w:hint="eastAsia"/>
                <w:szCs w:val="21"/>
              </w:rPr>
              <w:t>/</w:t>
            </w:r>
            <w:r w:rsidR="0058780A">
              <w:rPr>
                <w:rFonts w:ascii="仿宋" w:eastAsia="仿宋" w:hAnsi="仿宋" w:hint="eastAsia"/>
                <w:szCs w:val="21"/>
              </w:rPr>
              <w:t>28</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proofErr w:type="gramStart"/>
            <w:r>
              <w:rPr>
                <w:rFonts w:ascii="仿宋" w:eastAsia="仿宋" w:hAnsi="仿宋" w:hint="eastAsia"/>
                <w:szCs w:val="21"/>
              </w:rPr>
              <w:t>高东予</w:t>
            </w:r>
            <w:proofErr w:type="gramEnd"/>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董事</w:t>
            </w:r>
          </w:p>
        </w:tc>
        <w:tc>
          <w:tcPr>
            <w:tcW w:w="2709" w:type="dxa"/>
            <w:vAlign w:val="center"/>
          </w:tcPr>
          <w:p w:rsidR="000D3BEB" w:rsidRDefault="00C52F37">
            <w:pPr>
              <w:adjustRightInd w:val="0"/>
              <w:snapToGrid w:val="0"/>
              <w:jc w:val="center"/>
              <w:rPr>
                <w:rFonts w:ascii="仿宋" w:eastAsia="仿宋" w:hAnsi="仿宋"/>
                <w:szCs w:val="21"/>
              </w:rPr>
            </w:pPr>
            <w:proofErr w:type="gramStart"/>
            <w:r>
              <w:rPr>
                <w:rFonts w:ascii="仿宋" w:eastAsia="仿宋" w:hAnsi="仿宋" w:hint="eastAsia"/>
                <w:szCs w:val="21"/>
              </w:rPr>
              <w:t>吉证监许</w:t>
            </w:r>
            <w:proofErr w:type="gramEnd"/>
            <w:r>
              <w:rPr>
                <w:rFonts w:ascii="仿宋" w:eastAsia="仿宋" w:hAnsi="仿宋" w:hint="eastAsia"/>
                <w:szCs w:val="21"/>
              </w:rPr>
              <w:t>字[2011]9号</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2011/2/15</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胡乾坤</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监事</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2018/10/25</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陈 兵</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总经理</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证监期货字[2006]6号</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2018/5/10</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魏</w:t>
            </w:r>
            <w:r w:rsidR="00EC09D8">
              <w:rPr>
                <w:rFonts w:ascii="仿宋" w:eastAsia="仿宋" w:hAnsi="仿宋" w:hint="eastAsia"/>
                <w:szCs w:val="21"/>
              </w:rPr>
              <w:t xml:space="preserve"> </w:t>
            </w:r>
            <w:r>
              <w:rPr>
                <w:rFonts w:ascii="仿宋" w:eastAsia="仿宋" w:hAnsi="仿宋" w:hint="eastAsia"/>
                <w:szCs w:val="21"/>
              </w:rPr>
              <w:t>强</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副总经理</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2018/10/17</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姚小军</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副总经理</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2019/10/18</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张</w:t>
            </w:r>
            <w:r w:rsidR="00EC09D8">
              <w:rPr>
                <w:rFonts w:ascii="仿宋" w:eastAsia="仿宋" w:hAnsi="仿宋" w:hint="eastAsia"/>
                <w:szCs w:val="21"/>
              </w:rPr>
              <w:t xml:space="preserve"> </w:t>
            </w:r>
            <w:r>
              <w:rPr>
                <w:rFonts w:ascii="仿宋" w:eastAsia="仿宋" w:hAnsi="仿宋" w:hint="eastAsia"/>
                <w:szCs w:val="21"/>
              </w:rPr>
              <w:t>雄</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副总经理</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2020/4/2</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周</w:t>
            </w:r>
            <w:r w:rsidR="00EC09D8">
              <w:rPr>
                <w:rFonts w:ascii="仿宋" w:eastAsia="仿宋" w:hAnsi="仿宋" w:hint="eastAsia"/>
                <w:szCs w:val="21"/>
              </w:rPr>
              <w:t xml:space="preserve"> </w:t>
            </w:r>
            <w:r>
              <w:rPr>
                <w:rFonts w:ascii="仿宋" w:eastAsia="仿宋" w:hAnsi="仿宋" w:hint="eastAsia"/>
                <w:szCs w:val="21"/>
              </w:rPr>
              <w:t>琳</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女</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首席风险官</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2018/1/23</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proofErr w:type="gramStart"/>
            <w:r>
              <w:rPr>
                <w:rFonts w:ascii="仿宋" w:eastAsia="仿宋" w:hAnsi="仿宋" w:hint="eastAsia"/>
                <w:szCs w:val="21"/>
              </w:rPr>
              <w:t>高东予</w:t>
            </w:r>
            <w:proofErr w:type="gramEnd"/>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财务总监</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2011/3/7</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陈佳敏</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上海营业部负责人</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2015/9/11</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lastRenderedPageBreak/>
              <w:t>李跃东</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北京营业部负责人</w:t>
            </w:r>
          </w:p>
        </w:tc>
        <w:tc>
          <w:tcPr>
            <w:tcW w:w="2709" w:type="dxa"/>
            <w:vAlign w:val="center"/>
          </w:tcPr>
          <w:p w:rsidR="000D3BEB" w:rsidRDefault="00C52F37">
            <w:pPr>
              <w:adjustRightInd w:val="0"/>
              <w:snapToGrid w:val="0"/>
              <w:jc w:val="center"/>
              <w:rPr>
                <w:rFonts w:ascii="仿宋" w:eastAsia="仿宋" w:hAnsi="仿宋"/>
                <w:szCs w:val="21"/>
              </w:rPr>
            </w:pPr>
            <w:proofErr w:type="gramStart"/>
            <w:r>
              <w:rPr>
                <w:rFonts w:ascii="仿宋" w:eastAsia="仿宋" w:hAnsi="仿宋" w:hint="eastAsia"/>
                <w:szCs w:val="21"/>
              </w:rPr>
              <w:t>京证监许</w:t>
            </w:r>
            <w:proofErr w:type="gramEnd"/>
            <w:r>
              <w:rPr>
                <w:rFonts w:ascii="仿宋" w:eastAsia="仿宋" w:hAnsi="仿宋" w:hint="eastAsia"/>
                <w:szCs w:val="21"/>
              </w:rPr>
              <w:t>字[2014]44号</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2014/3/20</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卢俊辰</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杭州营业部负责人</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2017/11/17</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陈</w:t>
            </w:r>
            <w:proofErr w:type="gramStart"/>
            <w:r>
              <w:rPr>
                <w:rFonts w:ascii="仿宋" w:eastAsia="仿宋" w:hAnsi="仿宋" w:hint="eastAsia"/>
                <w:szCs w:val="21"/>
              </w:rPr>
              <w:t>浩</w:t>
            </w:r>
            <w:proofErr w:type="gramEnd"/>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男</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青岛分公司负责人</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2018/4/19</w:t>
            </w:r>
          </w:p>
        </w:tc>
      </w:tr>
      <w:tr w:rsidR="000D3BEB">
        <w:trPr>
          <w:trHeight w:val="563"/>
          <w:jc w:val="center"/>
        </w:trPr>
        <w:tc>
          <w:tcPr>
            <w:tcW w:w="114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闫擎一</w:t>
            </w:r>
          </w:p>
        </w:tc>
        <w:tc>
          <w:tcPr>
            <w:tcW w:w="731"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女</w:t>
            </w:r>
          </w:p>
        </w:tc>
        <w:tc>
          <w:tcPr>
            <w:tcW w:w="2353"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北京分公司负责人</w:t>
            </w:r>
          </w:p>
        </w:tc>
        <w:tc>
          <w:tcPr>
            <w:tcW w:w="2709"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备案</w:t>
            </w:r>
          </w:p>
        </w:tc>
        <w:tc>
          <w:tcPr>
            <w:tcW w:w="1524" w:type="dxa"/>
            <w:vAlign w:val="center"/>
          </w:tcPr>
          <w:p w:rsidR="000D3BEB" w:rsidRDefault="00C52F37">
            <w:pPr>
              <w:adjustRightInd w:val="0"/>
              <w:snapToGrid w:val="0"/>
              <w:jc w:val="center"/>
              <w:rPr>
                <w:rFonts w:ascii="仿宋" w:eastAsia="仿宋" w:hAnsi="仿宋"/>
                <w:szCs w:val="21"/>
              </w:rPr>
            </w:pPr>
            <w:r>
              <w:rPr>
                <w:rFonts w:ascii="仿宋" w:eastAsia="仿宋" w:hAnsi="仿宋" w:hint="eastAsia"/>
                <w:szCs w:val="21"/>
              </w:rPr>
              <w:t>2019/12/10</w:t>
            </w:r>
          </w:p>
        </w:tc>
      </w:tr>
    </w:tbl>
    <w:p w:rsidR="000D3BEB" w:rsidRDefault="00C52F37">
      <w:pPr>
        <w:adjustRightInd w:val="0"/>
        <w:snapToGrid w:val="0"/>
        <w:spacing w:beforeLines="100" w:before="312" w:line="360" w:lineRule="auto"/>
        <w:ind w:firstLineChars="200" w:firstLine="602"/>
        <w:rPr>
          <w:rFonts w:ascii="仿宋" w:eastAsia="仿宋" w:hAnsi="仿宋"/>
          <w:b/>
          <w:bCs/>
          <w:sz w:val="30"/>
          <w:szCs w:val="30"/>
        </w:rPr>
      </w:pPr>
      <w:r>
        <w:rPr>
          <w:rFonts w:ascii="仿宋" w:eastAsia="仿宋" w:hAnsi="仿宋" w:hint="eastAsia"/>
          <w:b/>
          <w:bCs/>
          <w:sz w:val="30"/>
          <w:szCs w:val="30"/>
        </w:rPr>
        <w:t>（三）与经济、环境和社会业绩相关的政策及其实施情况</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按照《期货交易管理条例》、《期货公司监督管理办法》等法律法规要求，积极推进制度化建设，不断强化制度化管理。公司已制定了以《公司章程》为中心，涉及综合管理、市场开发、交易结算、资金财务、信息技术、合</w:t>
      </w:r>
      <w:proofErr w:type="gramStart"/>
      <w:r>
        <w:rPr>
          <w:rFonts w:ascii="仿宋" w:eastAsia="仿宋" w:hAnsi="仿宋" w:hint="eastAsia"/>
          <w:sz w:val="30"/>
          <w:szCs w:val="30"/>
        </w:rPr>
        <w:t>规</w:t>
      </w:r>
      <w:proofErr w:type="gramEnd"/>
      <w:r>
        <w:rPr>
          <w:rFonts w:ascii="仿宋" w:eastAsia="仿宋" w:hAnsi="仿宋" w:hint="eastAsia"/>
          <w:sz w:val="30"/>
          <w:szCs w:val="30"/>
        </w:rPr>
        <w:t>稽核、风险控制、营销管理等各方面的百余项规章制度。</w:t>
      </w:r>
      <w:r>
        <w:rPr>
          <w:rFonts w:ascii="仿宋" w:eastAsia="仿宋" w:hAnsi="仿宋"/>
          <w:sz w:val="30"/>
          <w:szCs w:val="30"/>
        </w:rPr>
        <w:t>201</w:t>
      </w:r>
      <w:r>
        <w:rPr>
          <w:rFonts w:ascii="仿宋" w:eastAsia="仿宋" w:hAnsi="仿宋" w:hint="eastAsia"/>
          <w:sz w:val="30"/>
          <w:szCs w:val="30"/>
        </w:rPr>
        <w:t>9</w:t>
      </w:r>
      <w:r>
        <w:rPr>
          <w:rFonts w:ascii="仿宋" w:eastAsia="仿宋" w:hAnsi="仿宋"/>
          <w:sz w:val="30"/>
          <w:szCs w:val="30"/>
        </w:rPr>
        <w:t>年公司根据监管部门及自律组织出台的各类规定、内控要求以及公司实际经营运作情况，修订增补涉及合</w:t>
      </w:r>
      <w:proofErr w:type="gramStart"/>
      <w:r>
        <w:rPr>
          <w:rFonts w:ascii="仿宋" w:eastAsia="仿宋" w:hAnsi="仿宋"/>
          <w:sz w:val="30"/>
          <w:szCs w:val="30"/>
        </w:rPr>
        <w:t>规</w:t>
      </w:r>
      <w:proofErr w:type="gramEnd"/>
      <w:r>
        <w:rPr>
          <w:rFonts w:ascii="仿宋" w:eastAsia="仿宋" w:hAnsi="仿宋"/>
          <w:sz w:val="30"/>
          <w:szCs w:val="30"/>
        </w:rPr>
        <w:t>、</w:t>
      </w:r>
      <w:proofErr w:type="gramStart"/>
      <w:r>
        <w:rPr>
          <w:rFonts w:ascii="仿宋" w:eastAsia="仿宋" w:hAnsi="仿宋"/>
          <w:sz w:val="30"/>
          <w:szCs w:val="30"/>
        </w:rPr>
        <w:t>资管业务</w:t>
      </w:r>
      <w:proofErr w:type="gramEnd"/>
      <w:r>
        <w:rPr>
          <w:rFonts w:ascii="仿宋" w:eastAsia="仿宋" w:hAnsi="仿宋"/>
          <w:sz w:val="30"/>
          <w:szCs w:val="30"/>
        </w:rPr>
        <w:t>、运营、人力资源、IT、信息披露、</w:t>
      </w:r>
      <w:r>
        <w:rPr>
          <w:rFonts w:ascii="仿宋" w:eastAsia="仿宋" w:hAnsi="仿宋" w:hint="eastAsia"/>
          <w:sz w:val="30"/>
          <w:szCs w:val="30"/>
        </w:rPr>
        <w:t>分支机构</w:t>
      </w:r>
      <w:r>
        <w:rPr>
          <w:rFonts w:ascii="仿宋" w:eastAsia="仿宋" w:hAnsi="仿宋"/>
          <w:sz w:val="30"/>
          <w:szCs w:val="30"/>
        </w:rPr>
        <w:t>、反洗钱等方面制度。在经营管理过程中，公司各职能部门、各业务单位严格按照各项规章制度有序运转。</w:t>
      </w:r>
    </w:p>
    <w:p w:rsidR="000D3BEB" w:rsidRPr="00D9353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高度重视环境保护工作，根据国家产业政策和环保政策，实行科学有效的管理理念，通过各种方式减少对环境的污染，实现企业和社会的可持续性发展。例如公司在打印机、传真机等处摆放废纸再利用回收盒，并督促检查各项节能环保措施的落实情况；倡导节约用电，在无人办公的区域以及无人办公的时间一律</w:t>
      </w:r>
      <w:r w:rsidRPr="00D9353B">
        <w:rPr>
          <w:rFonts w:ascii="仿宋" w:eastAsia="仿宋" w:hAnsi="仿宋" w:hint="eastAsia"/>
          <w:sz w:val="30"/>
          <w:szCs w:val="30"/>
        </w:rPr>
        <w:t>切断电源。</w:t>
      </w:r>
    </w:p>
    <w:p w:rsidR="000D3BE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社会业绩实施方面，首先公司遵照《期货投资者教育工作指引》的有关要求，通过各种形式积极参与</w:t>
      </w:r>
      <w:proofErr w:type="gramStart"/>
      <w:r w:rsidRPr="00D9353B">
        <w:rPr>
          <w:rFonts w:ascii="仿宋" w:eastAsia="仿宋" w:hAnsi="仿宋" w:hint="eastAsia"/>
          <w:sz w:val="30"/>
          <w:szCs w:val="30"/>
        </w:rPr>
        <w:t>与</w:t>
      </w:r>
      <w:proofErr w:type="gramEnd"/>
      <w:r w:rsidRPr="00D9353B">
        <w:rPr>
          <w:rFonts w:ascii="仿宋" w:eastAsia="仿宋" w:hAnsi="仿宋" w:hint="eastAsia"/>
          <w:sz w:val="30"/>
          <w:szCs w:val="30"/>
        </w:rPr>
        <w:t>开展投资者教育活动及法制宣传，将投资者教育工作作为保护投资者合法权益的重要</w:t>
      </w:r>
      <w:r>
        <w:rPr>
          <w:rFonts w:ascii="仿宋" w:eastAsia="仿宋" w:hAnsi="仿宋" w:hint="eastAsia"/>
          <w:sz w:val="30"/>
          <w:szCs w:val="30"/>
        </w:rPr>
        <w:lastRenderedPageBreak/>
        <w:t>手段。通过现场、网站、短信</w:t>
      </w:r>
      <w:proofErr w:type="gramStart"/>
      <w:r>
        <w:rPr>
          <w:rFonts w:ascii="仿宋" w:eastAsia="仿宋" w:hAnsi="仿宋" w:hint="eastAsia"/>
          <w:sz w:val="30"/>
          <w:szCs w:val="30"/>
        </w:rPr>
        <w:t>及微信将</w:t>
      </w:r>
      <w:proofErr w:type="gramEnd"/>
      <w:r>
        <w:rPr>
          <w:rFonts w:ascii="仿宋" w:eastAsia="仿宋" w:hAnsi="仿宋" w:hint="eastAsia"/>
          <w:sz w:val="30"/>
          <w:szCs w:val="30"/>
        </w:rPr>
        <w:t>投资者教育落实到日常经营的各个环节，帮助投资者充分了解期货交易的特点和风险，增强风险防范意识，树立正确的投资理念，使投资者依法维护自身</w:t>
      </w:r>
      <w:r w:rsidRPr="00D9353B">
        <w:rPr>
          <w:rFonts w:ascii="仿宋" w:eastAsia="仿宋" w:hAnsi="仿宋" w:hint="eastAsia"/>
          <w:sz w:val="30"/>
          <w:szCs w:val="30"/>
        </w:rPr>
        <w:t>合法权益，促进期货市场的健康稳定发展；其次在产品管理方面，公司成立了产品决策委员会并制定了《中</w:t>
      </w:r>
      <w:proofErr w:type="gramStart"/>
      <w:r w:rsidRPr="00D9353B">
        <w:rPr>
          <w:rFonts w:ascii="仿宋" w:eastAsia="仿宋" w:hAnsi="仿宋" w:hint="eastAsia"/>
          <w:sz w:val="30"/>
          <w:szCs w:val="30"/>
        </w:rPr>
        <w:t>融汇</w:t>
      </w:r>
      <w:proofErr w:type="gramEnd"/>
      <w:r w:rsidRPr="00D9353B">
        <w:rPr>
          <w:rFonts w:ascii="仿宋" w:eastAsia="仿宋" w:hAnsi="仿宋" w:hint="eastAsia"/>
          <w:sz w:val="30"/>
          <w:szCs w:val="30"/>
        </w:rPr>
        <w:t>信期货有限公司资产管理业务投资决策管理办法》，对不同结构类型的产品，在事</w:t>
      </w:r>
      <w:r>
        <w:rPr>
          <w:rFonts w:ascii="仿宋" w:eastAsia="仿宋" w:hAnsi="仿宋" w:hint="eastAsia"/>
          <w:sz w:val="30"/>
          <w:szCs w:val="30"/>
        </w:rPr>
        <w:t>前、事中、事后的管理上做到了流程的全面覆盖，公司依托自身较强的产品设计能力和风险控制能力，不断丰富完善产品类型，为客户投资提供优质标的；另外，在服务创新方面，公司采用一站式的服务体系，为客户提供系统开发、开户、交易、风控、数据评估等环节的专业服务。</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（四）利益相关者参与</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充分利用股东给予的经营运作空间，从战略定位、制度设计、团队搭建、经营管理、业务开拓、奖励激励等方面多管齐下，积极开拓市场，大胆探索新模式，在稳健发展的基础上勇于创新，努力提高企业综合素质和核心竞争力。</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四、经济责任与业绩</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（一）公司经济发展大事记</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2013年12月17日经中国证监会上海监管局核准，公司注册地由吉林省长春市迁至上海市浦东新区。公司迁址至上海后，在上海市优质的金融环境下，在各级政府部门的关心帮助下，在股东及董事会的大力支持下，公司经营层洞察行业趋势、加速战略转型，进行了一系列对公司发展具有深远意义的探索和改革。</w:t>
      </w:r>
      <w:r>
        <w:rPr>
          <w:rFonts w:ascii="仿宋" w:eastAsia="仿宋" w:hAnsi="仿宋"/>
          <w:sz w:val="30"/>
          <w:szCs w:val="30"/>
        </w:rPr>
        <w:lastRenderedPageBreak/>
        <w:t>201</w:t>
      </w:r>
      <w:r>
        <w:rPr>
          <w:rFonts w:ascii="仿宋" w:eastAsia="仿宋" w:hAnsi="仿宋" w:hint="eastAsia"/>
          <w:sz w:val="30"/>
          <w:szCs w:val="30"/>
        </w:rPr>
        <w:t>9</w:t>
      </w:r>
      <w:r>
        <w:rPr>
          <w:rFonts w:ascii="仿宋" w:eastAsia="仿宋" w:hAnsi="仿宋"/>
          <w:sz w:val="30"/>
          <w:szCs w:val="30"/>
        </w:rPr>
        <w:t>年面对不断变化、错综复杂的形势，公司合</w:t>
      </w:r>
      <w:proofErr w:type="gramStart"/>
      <w:r>
        <w:rPr>
          <w:rFonts w:ascii="仿宋" w:eastAsia="仿宋" w:hAnsi="仿宋"/>
          <w:sz w:val="30"/>
          <w:szCs w:val="30"/>
        </w:rPr>
        <w:t>规</w:t>
      </w:r>
      <w:proofErr w:type="gramEnd"/>
      <w:r>
        <w:rPr>
          <w:rFonts w:ascii="仿宋" w:eastAsia="仿宋" w:hAnsi="仿宋"/>
          <w:sz w:val="30"/>
          <w:szCs w:val="30"/>
        </w:rPr>
        <w:t>经营，严控风险，保持了传统业务的稳定增长。</w:t>
      </w:r>
      <w:r>
        <w:rPr>
          <w:rFonts w:ascii="仿宋" w:eastAsia="仿宋" w:hAnsi="仿宋" w:hint="eastAsia"/>
          <w:sz w:val="30"/>
          <w:szCs w:val="30"/>
        </w:rPr>
        <w:t>2019年资产总额</w:t>
      </w:r>
      <w:r>
        <w:rPr>
          <w:rFonts w:ascii="仿宋" w:eastAsia="仿宋" w:hAnsi="仿宋"/>
          <w:sz w:val="30"/>
          <w:szCs w:val="30"/>
        </w:rPr>
        <w:t>18.94</w:t>
      </w:r>
      <w:r>
        <w:rPr>
          <w:rFonts w:ascii="仿宋" w:eastAsia="仿宋" w:hAnsi="仿宋" w:hint="eastAsia"/>
          <w:sz w:val="30"/>
          <w:szCs w:val="30"/>
        </w:rPr>
        <w:t>亿元，营业收入</w:t>
      </w:r>
      <w:r>
        <w:rPr>
          <w:rFonts w:ascii="仿宋" w:eastAsia="仿宋" w:hAnsi="仿宋" w:cs="仿宋" w:hint="eastAsia"/>
          <w:sz w:val="32"/>
          <w:szCs w:val="32"/>
        </w:rPr>
        <w:t>7200万</w:t>
      </w:r>
      <w:r>
        <w:rPr>
          <w:rFonts w:ascii="仿宋" w:eastAsia="仿宋" w:hAnsi="仿宋" w:hint="eastAsia"/>
          <w:sz w:val="30"/>
          <w:szCs w:val="30"/>
        </w:rPr>
        <w:t>元。</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（二）业务指标以及风险监管指标</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2019年，公司客户保证金日均权益</w:t>
      </w:r>
      <w:r>
        <w:rPr>
          <w:rFonts w:ascii="仿宋" w:eastAsia="仿宋" w:hAnsi="仿宋" w:cs="仿宋" w:hint="eastAsia"/>
          <w:sz w:val="32"/>
          <w:szCs w:val="32"/>
        </w:rPr>
        <w:t>13.73</w:t>
      </w:r>
      <w:r>
        <w:rPr>
          <w:rFonts w:ascii="仿宋" w:eastAsia="仿宋" w:hAnsi="仿宋" w:hint="eastAsia"/>
          <w:sz w:val="30"/>
          <w:szCs w:val="30"/>
        </w:rPr>
        <w:t>亿元，期末权益</w:t>
      </w:r>
      <w:r>
        <w:rPr>
          <w:rFonts w:ascii="仿宋" w:eastAsia="仿宋" w:hAnsi="仿宋"/>
          <w:sz w:val="30"/>
          <w:szCs w:val="30"/>
        </w:rPr>
        <w:t>15.38</w:t>
      </w:r>
      <w:r>
        <w:rPr>
          <w:rFonts w:ascii="仿宋" w:eastAsia="仿宋" w:hAnsi="仿宋" w:hint="eastAsia"/>
          <w:sz w:val="30"/>
          <w:szCs w:val="30"/>
        </w:rPr>
        <w:t>亿元。公司</w:t>
      </w:r>
      <w:r>
        <w:rPr>
          <w:rFonts w:ascii="仿宋" w:eastAsia="仿宋" w:hAnsi="仿宋"/>
          <w:sz w:val="30"/>
          <w:szCs w:val="30"/>
        </w:rPr>
        <w:t>2019年底共有客户2761户，其中个人客户2439户，占比88.34%，机构客户322户，占比11.66%。公司全年实现交易额376,942,689.63万元，手续费收入1,343.06万元，其中金融期货手续费收入119.91万元，占比8.93%，商品期货手续费收入1,223.15万元，占比91.07%。公司本年净资本与风险资本准备总额的比例为383%，净资本与净资产的比例为65%，报告期内公司的各项风险指标均符合监管要求。</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（三）对利益相关者的利益分配</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2019年公司缴纳增值税22.83万元，代扣代缴个人所得税170.74万元，缴纳企业所得税114.17万元。</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公司以岗位价值为基础确定员工薪</w:t>
      </w:r>
      <w:proofErr w:type="gramStart"/>
      <w:r>
        <w:rPr>
          <w:rFonts w:ascii="仿宋" w:eastAsia="仿宋" w:hAnsi="仿宋" w:hint="eastAsia"/>
          <w:sz w:val="30"/>
          <w:szCs w:val="30"/>
        </w:rPr>
        <w:t>酬</w:t>
      </w:r>
      <w:proofErr w:type="gramEnd"/>
      <w:r>
        <w:rPr>
          <w:rFonts w:ascii="仿宋" w:eastAsia="仿宋" w:hAnsi="仿宋" w:hint="eastAsia"/>
          <w:sz w:val="30"/>
          <w:szCs w:val="30"/>
        </w:rPr>
        <w:t>标准，并坚持绩效导向，给予绩优员工更高的劳动回报；同时致力于吸引和保留最优秀的人才，提供具有市场竞争力的薪酬，公司员工的工资收入均高于当地的最低工资标准。同时，公司建立了完善的员工社会福利保障体系，除五险</w:t>
      </w:r>
      <w:proofErr w:type="gramStart"/>
      <w:r>
        <w:rPr>
          <w:rFonts w:ascii="仿宋" w:eastAsia="仿宋" w:hAnsi="仿宋" w:hint="eastAsia"/>
          <w:sz w:val="30"/>
          <w:szCs w:val="30"/>
        </w:rPr>
        <w:t>一</w:t>
      </w:r>
      <w:proofErr w:type="gramEnd"/>
      <w:r>
        <w:rPr>
          <w:rFonts w:ascii="仿宋" w:eastAsia="仿宋" w:hAnsi="仿宋" w:hint="eastAsia"/>
          <w:sz w:val="30"/>
          <w:szCs w:val="30"/>
        </w:rPr>
        <w:t>金外，对符合条件的员工投保补充医疗保险，关注员工身体健康情况。</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（四）研究开发的投入及成果</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信期货研究范围包括金融衍生品、能源化工、有色金</w:t>
      </w:r>
      <w:r>
        <w:rPr>
          <w:rFonts w:ascii="仿宋" w:eastAsia="仿宋" w:hAnsi="仿宋" w:hint="eastAsia"/>
          <w:sz w:val="30"/>
          <w:szCs w:val="30"/>
        </w:rPr>
        <w:lastRenderedPageBreak/>
        <w:t>属、黑色金属和农产品等领域，研究范围涵盖商品期货和金融期货约二十个活跃品种，主要为客户提供衍生</w:t>
      </w:r>
      <w:proofErr w:type="gramStart"/>
      <w:r>
        <w:rPr>
          <w:rFonts w:ascii="仿宋" w:eastAsia="仿宋" w:hAnsi="仿宋" w:hint="eastAsia"/>
          <w:sz w:val="30"/>
          <w:szCs w:val="30"/>
        </w:rPr>
        <w:t>品信息</w:t>
      </w:r>
      <w:proofErr w:type="gramEnd"/>
      <w:r>
        <w:rPr>
          <w:rFonts w:ascii="仿宋" w:eastAsia="仿宋" w:hAnsi="仿宋" w:hint="eastAsia"/>
          <w:sz w:val="30"/>
          <w:szCs w:val="30"/>
        </w:rPr>
        <w:t>服务、产业服务、投资产品和专业风险管理工具等常规研究报告和应用型研究报告等专业的金融资讯服务，可满足不同客户的投资需求，并</w:t>
      </w:r>
      <w:proofErr w:type="gramStart"/>
      <w:r>
        <w:rPr>
          <w:rFonts w:ascii="仿宋" w:eastAsia="仿宋" w:hAnsi="仿宋" w:hint="eastAsia"/>
          <w:sz w:val="30"/>
          <w:szCs w:val="30"/>
        </w:rPr>
        <w:t>融汇</w:t>
      </w:r>
      <w:proofErr w:type="gramEnd"/>
      <w:r>
        <w:rPr>
          <w:rFonts w:ascii="仿宋" w:eastAsia="仿宋" w:hAnsi="仿宋" w:hint="eastAsia"/>
          <w:sz w:val="30"/>
          <w:szCs w:val="30"/>
        </w:rPr>
        <w:t>了信托、期货、证券、银行等多方位资源，力争打造国内</w:t>
      </w:r>
      <w:proofErr w:type="gramStart"/>
      <w:r>
        <w:rPr>
          <w:rFonts w:ascii="仿宋" w:eastAsia="仿宋" w:hAnsi="仿宋" w:hint="eastAsia"/>
          <w:sz w:val="30"/>
          <w:szCs w:val="30"/>
        </w:rPr>
        <w:t>最</w:t>
      </w:r>
      <w:proofErr w:type="gramEnd"/>
      <w:r>
        <w:rPr>
          <w:rFonts w:ascii="仿宋" w:eastAsia="仿宋" w:hAnsi="仿宋" w:hint="eastAsia"/>
          <w:sz w:val="30"/>
          <w:szCs w:val="30"/>
        </w:rPr>
        <w:t>专业的期货研究机构。</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（五）固定资产投资及评估</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公司严格遵循《中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有限公司固定资产管理制度》进行固定资产管理，保障固定资产的安全和完整，加强对固定投资项目的审计监督、效益评估与分析，正确评价项目的盈利能力和经营风险水平，提高固定资产投资效益。2019年，公司固定资产投入</w:t>
      </w:r>
      <w:r>
        <w:rPr>
          <w:rFonts w:ascii="仿宋" w:eastAsia="仿宋" w:hAnsi="仿宋"/>
          <w:sz w:val="30"/>
          <w:szCs w:val="30"/>
        </w:rPr>
        <w:t>103.68</w:t>
      </w:r>
      <w:r>
        <w:rPr>
          <w:rFonts w:ascii="仿宋" w:eastAsia="仿宋" w:hAnsi="仿宋" w:hint="eastAsia"/>
          <w:sz w:val="30"/>
          <w:szCs w:val="30"/>
        </w:rPr>
        <w:t>万元，其中电子设备投入</w:t>
      </w:r>
      <w:r>
        <w:rPr>
          <w:rFonts w:ascii="仿宋" w:eastAsia="仿宋" w:hAnsi="仿宋"/>
          <w:sz w:val="30"/>
          <w:szCs w:val="30"/>
        </w:rPr>
        <w:t>101.77</w:t>
      </w:r>
      <w:r>
        <w:rPr>
          <w:rFonts w:ascii="仿宋" w:eastAsia="仿宋" w:hAnsi="仿宋" w:hint="eastAsia"/>
          <w:sz w:val="30"/>
          <w:szCs w:val="30"/>
        </w:rPr>
        <w:t>万元，投入占比</w:t>
      </w:r>
      <w:r>
        <w:rPr>
          <w:rFonts w:ascii="仿宋" w:eastAsia="仿宋" w:hAnsi="仿宋"/>
          <w:sz w:val="30"/>
          <w:szCs w:val="30"/>
        </w:rPr>
        <w:t>98.16%</w:t>
      </w:r>
      <w:r>
        <w:rPr>
          <w:rFonts w:ascii="仿宋" w:eastAsia="仿宋" w:hAnsi="仿宋" w:hint="eastAsia"/>
          <w:sz w:val="30"/>
          <w:szCs w:val="30"/>
        </w:rPr>
        <w:t>。</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五、社会责任与业绩</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（一）公司社会责任大事记</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公司秉承“天道酬勤、以人为本”的文化理念和“支持政府、回报社会、造福人民”的立业宗旨，以高度的政治使命感和社会责任感，在追求企业发展的同时积极回馈社会。</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1、“5·15全国投资者保护宣传日”主题宣传活动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为加强期货行业投资者自我保护意识，切实维护投资者合法权益，我司于</w:t>
      </w:r>
      <w:r>
        <w:rPr>
          <w:rFonts w:ascii="仿宋" w:eastAsia="仿宋" w:hAnsi="仿宋"/>
          <w:sz w:val="30"/>
          <w:szCs w:val="30"/>
        </w:rPr>
        <w:t>2019年5月开展了“5·15全国投资者保护宣传日”主题宣传活动，通过自媒体（官方网站、</w:t>
      </w:r>
      <w:proofErr w:type="gramStart"/>
      <w:r>
        <w:rPr>
          <w:rFonts w:ascii="仿宋" w:eastAsia="仿宋" w:hAnsi="仿宋"/>
          <w:sz w:val="30"/>
          <w:szCs w:val="30"/>
        </w:rPr>
        <w:t>微信公众号</w:t>
      </w:r>
      <w:proofErr w:type="gramEnd"/>
      <w:r>
        <w:rPr>
          <w:rFonts w:ascii="仿宋" w:eastAsia="仿宋" w:hAnsi="仿宋"/>
          <w:sz w:val="30"/>
          <w:szCs w:val="30"/>
        </w:rPr>
        <w:t>）、营业场地投资者教育园地、《股东来了》投资者权益知识竞赛活动</w:t>
      </w:r>
      <w:r>
        <w:rPr>
          <w:rFonts w:ascii="仿宋" w:eastAsia="仿宋" w:hAnsi="仿宋"/>
          <w:sz w:val="30"/>
          <w:szCs w:val="30"/>
        </w:rPr>
        <w:lastRenderedPageBreak/>
        <w:t>等途径开展主题宣传，进一步增强了广大投资者的风险防范意识和防护技能。</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2、</w:t>
      </w:r>
      <w:proofErr w:type="gramStart"/>
      <w:r>
        <w:rPr>
          <w:rFonts w:ascii="仿宋" w:eastAsia="仿宋" w:hAnsi="仿宋"/>
          <w:sz w:val="30"/>
          <w:szCs w:val="30"/>
        </w:rPr>
        <w:t>打非防非投资者</w:t>
      </w:r>
      <w:proofErr w:type="gramEnd"/>
      <w:r>
        <w:rPr>
          <w:rFonts w:ascii="仿宋" w:eastAsia="仿宋" w:hAnsi="仿宋"/>
          <w:sz w:val="30"/>
          <w:szCs w:val="30"/>
        </w:rPr>
        <w:t>保护专项活动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为了大力宣传</w:t>
      </w:r>
      <w:proofErr w:type="gramStart"/>
      <w:r>
        <w:rPr>
          <w:rFonts w:ascii="仿宋" w:eastAsia="仿宋" w:hAnsi="仿宋" w:hint="eastAsia"/>
          <w:sz w:val="30"/>
          <w:szCs w:val="30"/>
        </w:rPr>
        <w:t>打非防非案例</w:t>
      </w:r>
      <w:proofErr w:type="gramEnd"/>
      <w:r>
        <w:rPr>
          <w:rFonts w:ascii="仿宋" w:eastAsia="仿宋" w:hAnsi="仿宋" w:hint="eastAsia"/>
          <w:sz w:val="30"/>
          <w:szCs w:val="30"/>
        </w:rPr>
        <w:t>与经验做法，持续提升投资者的专业知识水平和风险防范意识，有效引导和提高社会公众对非法证券期货活动危害性的认识，我司于</w:t>
      </w:r>
      <w:r>
        <w:rPr>
          <w:rFonts w:ascii="仿宋" w:eastAsia="仿宋" w:hAnsi="仿宋"/>
          <w:sz w:val="30"/>
          <w:szCs w:val="30"/>
        </w:rPr>
        <w:t>2019年5月开展了</w:t>
      </w:r>
      <w:proofErr w:type="gramStart"/>
      <w:r>
        <w:rPr>
          <w:rFonts w:ascii="仿宋" w:eastAsia="仿宋" w:hAnsi="仿宋"/>
          <w:sz w:val="30"/>
          <w:szCs w:val="30"/>
        </w:rPr>
        <w:t>打非防非投资者</w:t>
      </w:r>
      <w:proofErr w:type="gramEnd"/>
      <w:r>
        <w:rPr>
          <w:rFonts w:ascii="仿宋" w:eastAsia="仿宋" w:hAnsi="仿宋"/>
          <w:sz w:val="30"/>
          <w:szCs w:val="30"/>
        </w:rPr>
        <w:t>保护专项活动，号召投资者共同抵制非法证券期货活动，创建良好投资环境。此次</w:t>
      </w:r>
      <w:proofErr w:type="gramStart"/>
      <w:r>
        <w:rPr>
          <w:rFonts w:ascii="仿宋" w:eastAsia="仿宋" w:hAnsi="仿宋"/>
          <w:sz w:val="30"/>
          <w:szCs w:val="30"/>
        </w:rPr>
        <w:t>打非防非投资者</w:t>
      </w:r>
      <w:proofErr w:type="gramEnd"/>
      <w:r>
        <w:rPr>
          <w:rFonts w:ascii="仿宋" w:eastAsia="仿宋" w:hAnsi="仿宋"/>
          <w:sz w:val="30"/>
          <w:szCs w:val="30"/>
        </w:rPr>
        <w:t>保护专项活动的顺利开展，进一步增强了广大投资者对非法证券期货活动的识别能力，提升了投资者的风险防范意识和防护技能。</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3、国家网络安全宣传周主题宣传活动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为进一步提升全社会网络安全意识和安全防护技能，我司于</w:t>
      </w:r>
      <w:r>
        <w:rPr>
          <w:rFonts w:ascii="仿宋" w:eastAsia="仿宋" w:hAnsi="仿宋"/>
          <w:sz w:val="30"/>
          <w:szCs w:val="30"/>
        </w:rPr>
        <w:t>2019年9月开展了主题为“网络安全为人民、网络安全靠人民”的网络安全宣传周主题活动。通过官方网站、</w:t>
      </w:r>
      <w:proofErr w:type="gramStart"/>
      <w:r>
        <w:rPr>
          <w:rFonts w:ascii="仿宋" w:eastAsia="仿宋" w:hAnsi="仿宋"/>
          <w:sz w:val="30"/>
          <w:szCs w:val="30"/>
        </w:rPr>
        <w:t>微信公众号</w:t>
      </w:r>
      <w:proofErr w:type="gramEnd"/>
      <w:r>
        <w:rPr>
          <w:rFonts w:ascii="仿宋" w:eastAsia="仿宋" w:hAnsi="仿宋"/>
          <w:sz w:val="30"/>
          <w:szCs w:val="30"/>
        </w:rPr>
        <w:t>、信息安全意识培训及竞赛、营业场所现场宣传及走进社区等线上线下活动，重点宣传《网络安全法》及数据安全管理、个人信息保护等方面的法规、标准，推进关键信息基础设施保护、大数据安全、个人信息保护等工作。通过员工、投资者广泛参与宣传教育活动，实现普及网络安全知识，提升全社会网络安全意识和防护技能的目标。</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4、金融知识</w:t>
      </w:r>
      <w:proofErr w:type="gramStart"/>
      <w:r>
        <w:rPr>
          <w:rFonts w:ascii="仿宋" w:eastAsia="仿宋" w:hAnsi="仿宋"/>
          <w:sz w:val="30"/>
          <w:szCs w:val="30"/>
        </w:rPr>
        <w:t>普及月</w:t>
      </w:r>
      <w:proofErr w:type="gramEnd"/>
      <w:r>
        <w:rPr>
          <w:rFonts w:ascii="仿宋" w:eastAsia="仿宋" w:hAnsi="仿宋"/>
          <w:sz w:val="30"/>
          <w:szCs w:val="30"/>
        </w:rPr>
        <w:t>主题宣传活动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为了贯彻落实党的十九大精神和习近平总书记关于金融工作的重要讲话精神，</w:t>
      </w:r>
      <w:proofErr w:type="gramStart"/>
      <w:r>
        <w:rPr>
          <w:rFonts w:ascii="仿宋" w:eastAsia="仿宋" w:hAnsi="仿宋" w:hint="eastAsia"/>
          <w:sz w:val="30"/>
          <w:szCs w:val="30"/>
        </w:rPr>
        <w:t>践行</w:t>
      </w:r>
      <w:proofErr w:type="gramEnd"/>
      <w:r>
        <w:rPr>
          <w:rFonts w:ascii="仿宋" w:eastAsia="仿宋" w:hAnsi="仿宋" w:hint="eastAsia"/>
          <w:sz w:val="30"/>
          <w:szCs w:val="30"/>
        </w:rPr>
        <w:t>“以人民为中心”的发展思想，切实满足人民群众日益增长的金融需求，我司于</w:t>
      </w:r>
      <w:r>
        <w:rPr>
          <w:rFonts w:ascii="仿宋" w:eastAsia="仿宋" w:hAnsi="仿宋"/>
          <w:sz w:val="30"/>
          <w:szCs w:val="30"/>
        </w:rPr>
        <w:t>2019年9月开展了主</w:t>
      </w:r>
      <w:r>
        <w:rPr>
          <w:rFonts w:ascii="仿宋" w:eastAsia="仿宋" w:hAnsi="仿宋"/>
          <w:sz w:val="30"/>
          <w:szCs w:val="30"/>
        </w:rPr>
        <w:lastRenderedPageBreak/>
        <w:t>题为“普及金融知识，防范金融风险，共建小康社会”的“金融知识普及月金融知识进万家 争做理性投资者 争做金融好网民”宣传活动，重点普及金融基础知识，发布《“争做理性投资者 争做金融好网民”倡议书》。与此同时，我司还通过官方网站及</w:t>
      </w:r>
      <w:proofErr w:type="gramStart"/>
      <w:r>
        <w:rPr>
          <w:rFonts w:ascii="仿宋" w:eastAsia="仿宋" w:hAnsi="仿宋"/>
          <w:sz w:val="30"/>
          <w:szCs w:val="30"/>
        </w:rPr>
        <w:t>微信公众号</w:t>
      </w:r>
      <w:proofErr w:type="gramEnd"/>
      <w:r>
        <w:rPr>
          <w:rFonts w:ascii="仿宋" w:eastAsia="仿宋" w:hAnsi="仿宋"/>
          <w:sz w:val="30"/>
          <w:szCs w:val="30"/>
        </w:rPr>
        <w:t>开展了私募基金专项教育活动，强化风险警示，引导理性投资，防范化解风险隐患。</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5、“宪法宣传周”主题宣传活动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为深入贯彻落</w:t>
      </w:r>
      <w:proofErr w:type="gramStart"/>
      <w:r>
        <w:rPr>
          <w:rFonts w:ascii="仿宋" w:eastAsia="仿宋" w:hAnsi="仿宋" w:hint="eastAsia"/>
          <w:sz w:val="30"/>
          <w:szCs w:val="30"/>
        </w:rPr>
        <w:t>实习近</w:t>
      </w:r>
      <w:proofErr w:type="gramEnd"/>
      <w:r>
        <w:rPr>
          <w:rFonts w:ascii="仿宋" w:eastAsia="仿宋" w:hAnsi="仿宋" w:hint="eastAsia"/>
          <w:sz w:val="30"/>
          <w:szCs w:val="30"/>
        </w:rPr>
        <w:t>平总书记全面依法治国新理念新思想新战略，深入贯彻落实中央关于深入学习宣传和贯彻实施宪法的部署，推动宪法宣传教育形成热潮，我司于</w:t>
      </w:r>
      <w:r>
        <w:rPr>
          <w:rFonts w:ascii="仿宋" w:eastAsia="仿宋" w:hAnsi="仿宋"/>
          <w:sz w:val="30"/>
          <w:szCs w:val="30"/>
        </w:rPr>
        <w:t>2019年12月3日至12月7日期间开展了以“弘扬宪法精神，推进国家治理体系和治理能力现代化”为主题的宣传活动，向广大投资者普及了宪法条款、传达了宪法核心要义、弘扬了宪法精神。</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6、自有资金采购农产品助力脱贫攻坚</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在中国期货业协会的号召下，公司通过联络江西省赣州市南康区其</w:t>
      </w:r>
      <w:proofErr w:type="gramStart"/>
      <w:r>
        <w:rPr>
          <w:rFonts w:ascii="仿宋" w:eastAsia="仿宋" w:hAnsi="仿宋" w:hint="eastAsia"/>
          <w:sz w:val="30"/>
          <w:szCs w:val="30"/>
        </w:rPr>
        <w:t>乐果业</w:t>
      </w:r>
      <w:proofErr w:type="gramEnd"/>
      <w:r>
        <w:rPr>
          <w:rFonts w:ascii="仿宋" w:eastAsia="仿宋" w:hAnsi="仿宋" w:hint="eastAsia"/>
          <w:sz w:val="30"/>
          <w:szCs w:val="30"/>
        </w:rPr>
        <w:t>公司，采购当季优质赣南脐橙2000公斤并发放员工福利，有效帮助当地贫困种植户和建档立卡户拓宽脐橙销路、增加收入，为江西省赣州市的脱贫攻坚工作提供有力支持。</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“穷则独善其身，达则兼济天下”，未来中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信期货将与股东单位扶贫行动进行有效对接，积极发挥期货风险管理工具特殊功能，协同股东各业务板块，支持贫困地区经济发展，探索多种方式方法为贫困地区实体企业从事套期保值提供支持与帮扶等。</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lastRenderedPageBreak/>
        <w:t>（二）员工管理与合理的工作</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1.员工数量、结构与流动比例</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201</w:t>
      </w:r>
      <w:r>
        <w:rPr>
          <w:rFonts w:ascii="仿宋" w:eastAsia="仿宋" w:hAnsi="仿宋" w:hint="eastAsia"/>
          <w:sz w:val="30"/>
          <w:szCs w:val="30"/>
        </w:rPr>
        <w:t>9</w:t>
      </w:r>
      <w:r>
        <w:rPr>
          <w:rFonts w:ascii="仿宋" w:eastAsia="仿宋" w:hAnsi="仿宋"/>
          <w:sz w:val="30"/>
          <w:szCs w:val="30"/>
        </w:rPr>
        <w:t>年公司持续优化组织架构和人才结构，根据业务定位及市场环境的变化,实施精兵政策。截至201</w:t>
      </w:r>
      <w:r>
        <w:rPr>
          <w:rFonts w:ascii="仿宋" w:eastAsia="仿宋" w:hAnsi="仿宋" w:hint="eastAsia"/>
          <w:sz w:val="30"/>
          <w:szCs w:val="30"/>
        </w:rPr>
        <w:t>9</w:t>
      </w:r>
      <w:r>
        <w:rPr>
          <w:rFonts w:ascii="仿宋" w:eastAsia="仿宋" w:hAnsi="仿宋"/>
          <w:sz w:val="30"/>
          <w:szCs w:val="30"/>
        </w:rPr>
        <w:t>年12月31日，公司共有正式员工</w:t>
      </w:r>
      <w:r>
        <w:rPr>
          <w:rFonts w:ascii="仿宋" w:eastAsia="仿宋" w:hAnsi="仿宋" w:hint="eastAsia"/>
          <w:sz w:val="30"/>
          <w:szCs w:val="30"/>
        </w:rPr>
        <w:t>116</w:t>
      </w:r>
      <w:r>
        <w:rPr>
          <w:rFonts w:ascii="仿宋" w:eastAsia="仿宋" w:hAnsi="仿宋"/>
          <w:sz w:val="30"/>
          <w:szCs w:val="30"/>
        </w:rPr>
        <w:t>人，其中从业人员</w:t>
      </w:r>
      <w:r>
        <w:rPr>
          <w:rFonts w:ascii="仿宋" w:eastAsia="仿宋" w:hAnsi="仿宋" w:hint="eastAsia"/>
          <w:sz w:val="30"/>
          <w:szCs w:val="30"/>
        </w:rPr>
        <w:t>105</w:t>
      </w:r>
      <w:r>
        <w:rPr>
          <w:rFonts w:ascii="仿宋" w:eastAsia="仿宋" w:hAnsi="仿宋"/>
          <w:sz w:val="30"/>
          <w:szCs w:val="30"/>
        </w:rPr>
        <w:t>人，构成情况如下表：</w:t>
      </w:r>
    </w:p>
    <w:tbl>
      <w:tblPr>
        <w:tblW w:w="7758" w:type="dxa"/>
        <w:jc w:val="center"/>
        <w:tblLayout w:type="fixed"/>
        <w:tblLook w:val="04A0" w:firstRow="1" w:lastRow="0" w:firstColumn="1" w:lastColumn="0" w:noHBand="0" w:noVBand="1"/>
      </w:tblPr>
      <w:tblGrid>
        <w:gridCol w:w="1649"/>
        <w:gridCol w:w="2938"/>
        <w:gridCol w:w="1584"/>
        <w:gridCol w:w="1587"/>
      </w:tblGrid>
      <w:tr w:rsidR="000D3BEB">
        <w:trPr>
          <w:trHeight w:val="491"/>
          <w:jc w:val="center"/>
        </w:trPr>
        <w:tc>
          <w:tcPr>
            <w:tcW w:w="4587" w:type="dxa"/>
            <w:gridSpan w:val="2"/>
            <w:tcBorders>
              <w:top w:val="single" w:sz="4" w:space="0" w:color="000000"/>
              <w:left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b/>
                <w:bCs/>
                <w:sz w:val="24"/>
                <w:szCs w:val="24"/>
              </w:rPr>
            </w:pPr>
            <w:r>
              <w:rPr>
                <w:rFonts w:ascii="仿宋" w:eastAsia="仿宋" w:hAnsi="仿宋" w:hint="eastAsia"/>
                <w:b/>
                <w:bCs/>
                <w:sz w:val="24"/>
                <w:szCs w:val="24"/>
              </w:rPr>
              <w:t>项目</w:t>
            </w:r>
          </w:p>
        </w:tc>
        <w:tc>
          <w:tcPr>
            <w:tcW w:w="1584" w:type="dxa"/>
            <w:tcBorders>
              <w:top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b/>
                <w:bCs/>
                <w:sz w:val="24"/>
                <w:szCs w:val="24"/>
              </w:rPr>
            </w:pPr>
            <w:r>
              <w:rPr>
                <w:rFonts w:ascii="仿宋" w:eastAsia="仿宋" w:hAnsi="仿宋" w:hint="eastAsia"/>
                <w:b/>
                <w:bCs/>
                <w:sz w:val="24"/>
                <w:szCs w:val="24"/>
              </w:rPr>
              <w:t>人数</w:t>
            </w:r>
          </w:p>
        </w:tc>
        <w:tc>
          <w:tcPr>
            <w:tcW w:w="1587" w:type="dxa"/>
            <w:tcBorders>
              <w:top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b/>
                <w:bCs/>
                <w:sz w:val="24"/>
                <w:szCs w:val="24"/>
              </w:rPr>
            </w:pPr>
            <w:r>
              <w:rPr>
                <w:rFonts w:ascii="仿宋" w:eastAsia="仿宋" w:hAnsi="仿宋" w:hint="eastAsia"/>
                <w:b/>
                <w:bCs/>
                <w:sz w:val="24"/>
                <w:szCs w:val="24"/>
              </w:rPr>
              <w:t>比例％</w:t>
            </w:r>
          </w:p>
        </w:tc>
      </w:tr>
      <w:tr w:rsidR="000D3BEB">
        <w:trPr>
          <w:trHeight w:val="514"/>
          <w:jc w:val="center"/>
        </w:trPr>
        <w:tc>
          <w:tcPr>
            <w:tcW w:w="1649" w:type="dxa"/>
            <w:vMerge w:val="restart"/>
            <w:tcBorders>
              <w:left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b/>
                <w:bCs/>
                <w:sz w:val="24"/>
                <w:szCs w:val="24"/>
              </w:rPr>
            </w:pPr>
            <w:r>
              <w:rPr>
                <w:rFonts w:ascii="仿宋" w:eastAsia="仿宋" w:hAnsi="仿宋" w:hint="eastAsia"/>
                <w:b/>
                <w:bCs/>
                <w:sz w:val="24"/>
                <w:szCs w:val="24"/>
              </w:rPr>
              <w:t>专业结构</w:t>
            </w: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管理人员</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38</w:t>
            </w:r>
          </w:p>
        </w:tc>
        <w:tc>
          <w:tcPr>
            <w:tcW w:w="1587" w:type="dxa"/>
            <w:tcBorders>
              <w:top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32.76%</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研发人员</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8</w:t>
            </w:r>
          </w:p>
        </w:tc>
        <w:tc>
          <w:tcPr>
            <w:tcW w:w="1587" w:type="dxa"/>
            <w:tcBorders>
              <w:top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6.90%</w:t>
            </w:r>
          </w:p>
        </w:tc>
      </w:tr>
      <w:tr w:rsidR="000D3BEB">
        <w:trPr>
          <w:trHeight w:val="542"/>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技术人员</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17</w:t>
            </w:r>
          </w:p>
        </w:tc>
        <w:tc>
          <w:tcPr>
            <w:tcW w:w="1587" w:type="dxa"/>
            <w:tcBorders>
              <w:top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14.66%</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业务人员</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16</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13.79%</w:t>
            </w:r>
          </w:p>
        </w:tc>
      </w:tr>
      <w:tr w:rsidR="000D3BEB">
        <w:trPr>
          <w:trHeight w:val="542"/>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其它人员</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37</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31.90%</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合计</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116</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100%</w:t>
            </w:r>
          </w:p>
        </w:tc>
      </w:tr>
      <w:tr w:rsidR="000D3BEB">
        <w:trPr>
          <w:trHeight w:val="514"/>
          <w:jc w:val="center"/>
        </w:trPr>
        <w:tc>
          <w:tcPr>
            <w:tcW w:w="1649" w:type="dxa"/>
            <w:vMerge w:val="restart"/>
            <w:tcBorders>
              <w:left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b/>
                <w:bCs/>
                <w:sz w:val="24"/>
                <w:szCs w:val="24"/>
              </w:rPr>
            </w:pPr>
            <w:r>
              <w:rPr>
                <w:rFonts w:ascii="仿宋" w:eastAsia="仿宋" w:hAnsi="仿宋" w:hint="eastAsia"/>
                <w:b/>
                <w:bCs/>
                <w:sz w:val="24"/>
                <w:szCs w:val="24"/>
              </w:rPr>
              <w:t>学历</w:t>
            </w: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研究生（硕士学位）</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35</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30.17%</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本科（学士学位）</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72</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62.07%</w:t>
            </w:r>
          </w:p>
        </w:tc>
      </w:tr>
      <w:tr w:rsidR="000D3BEB">
        <w:trPr>
          <w:trHeight w:val="542"/>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专科及高中</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9</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7.76%</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b/>
                <w:bCs/>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合计</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116</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100%</w:t>
            </w:r>
          </w:p>
        </w:tc>
      </w:tr>
      <w:tr w:rsidR="000D3BEB">
        <w:trPr>
          <w:trHeight w:val="514"/>
          <w:jc w:val="center"/>
        </w:trPr>
        <w:tc>
          <w:tcPr>
            <w:tcW w:w="1649" w:type="dxa"/>
            <w:vMerge w:val="restart"/>
            <w:tcBorders>
              <w:left w:val="single" w:sz="4" w:space="0" w:color="000000"/>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b/>
                <w:bCs/>
                <w:sz w:val="24"/>
                <w:szCs w:val="24"/>
              </w:rPr>
            </w:pPr>
            <w:r>
              <w:rPr>
                <w:rFonts w:ascii="仿宋" w:eastAsia="仿宋" w:hAnsi="仿宋" w:hint="eastAsia"/>
                <w:b/>
                <w:bCs/>
                <w:sz w:val="24"/>
                <w:szCs w:val="24"/>
              </w:rPr>
              <w:t>年龄</w:t>
            </w: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35岁以下</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74</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63.79%</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35岁以上50岁以下</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39</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33.62%</w:t>
            </w:r>
          </w:p>
        </w:tc>
      </w:tr>
      <w:tr w:rsidR="000D3BEB">
        <w:trPr>
          <w:trHeight w:val="542"/>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50岁以上</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3</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2.59%</w:t>
            </w:r>
          </w:p>
        </w:tc>
      </w:tr>
      <w:tr w:rsidR="000D3BEB">
        <w:trPr>
          <w:trHeight w:val="514"/>
          <w:jc w:val="center"/>
        </w:trPr>
        <w:tc>
          <w:tcPr>
            <w:tcW w:w="1649" w:type="dxa"/>
            <w:vMerge/>
            <w:tcBorders>
              <w:left w:val="single" w:sz="4" w:space="0" w:color="000000"/>
              <w:bottom w:val="single" w:sz="4" w:space="0" w:color="000000"/>
              <w:right w:val="single" w:sz="4" w:space="0" w:color="000000"/>
            </w:tcBorders>
            <w:vAlign w:val="center"/>
          </w:tcPr>
          <w:p w:rsidR="000D3BEB" w:rsidRDefault="000D3BEB">
            <w:pPr>
              <w:adjustRightInd w:val="0"/>
              <w:snapToGrid w:val="0"/>
              <w:spacing w:before="100" w:beforeAutospacing="1" w:after="100" w:afterAutospacing="1"/>
              <w:jc w:val="center"/>
              <w:rPr>
                <w:rFonts w:ascii="仿宋" w:eastAsia="仿宋" w:hAnsi="仿宋"/>
                <w:sz w:val="24"/>
                <w:szCs w:val="24"/>
              </w:rPr>
            </w:pPr>
          </w:p>
        </w:tc>
        <w:tc>
          <w:tcPr>
            <w:tcW w:w="293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hint="eastAsia"/>
                <w:sz w:val="24"/>
                <w:szCs w:val="24"/>
              </w:rPr>
              <w:t>合计</w:t>
            </w:r>
          </w:p>
        </w:tc>
        <w:tc>
          <w:tcPr>
            <w:tcW w:w="1584"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仿宋" w:hint="eastAsia"/>
                <w:color w:val="000000"/>
                <w:kern w:val="0"/>
                <w:sz w:val="24"/>
                <w:szCs w:val="24"/>
                <w:lang w:bidi="ar"/>
              </w:rPr>
              <w:t>116</w:t>
            </w:r>
          </w:p>
        </w:tc>
        <w:tc>
          <w:tcPr>
            <w:tcW w:w="1587" w:type="dxa"/>
            <w:tcBorders>
              <w:bottom w:val="single" w:sz="4" w:space="0" w:color="000000"/>
              <w:right w:val="single" w:sz="4" w:space="0" w:color="000000"/>
            </w:tcBorders>
            <w:vAlign w:val="center"/>
          </w:tcPr>
          <w:p w:rsidR="000D3BEB" w:rsidRDefault="00C52F37">
            <w:pPr>
              <w:adjustRightInd w:val="0"/>
              <w:snapToGrid w:val="0"/>
              <w:spacing w:before="100" w:beforeAutospacing="1" w:after="100" w:afterAutospacing="1"/>
              <w:jc w:val="center"/>
              <w:rPr>
                <w:rFonts w:ascii="仿宋" w:eastAsia="仿宋" w:hAnsi="仿宋"/>
                <w:sz w:val="24"/>
                <w:szCs w:val="24"/>
              </w:rPr>
            </w:pPr>
            <w:r>
              <w:rPr>
                <w:rFonts w:ascii="仿宋" w:eastAsia="仿宋" w:hAnsi="仿宋" w:cs="宋体" w:hint="eastAsia"/>
                <w:color w:val="000000"/>
                <w:kern w:val="0"/>
                <w:sz w:val="24"/>
                <w:szCs w:val="24"/>
                <w:lang w:bidi="ar"/>
              </w:rPr>
              <w:t>100%</w:t>
            </w:r>
          </w:p>
        </w:tc>
      </w:tr>
    </w:tbl>
    <w:p w:rsidR="000D3BEB" w:rsidRDefault="00C52F37">
      <w:pPr>
        <w:adjustRightInd w:val="0"/>
        <w:snapToGrid w:val="0"/>
        <w:spacing w:beforeLines="100" w:before="312" w:line="360" w:lineRule="auto"/>
        <w:ind w:firstLineChars="200" w:firstLine="600"/>
        <w:rPr>
          <w:rFonts w:ascii="仿宋" w:eastAsia="仿宋" w:hAnsi="仿宋"/>
          <w:sz w:val="30"/>
          <w:szCs w:val="30"/>
        </w:rPr>
      </w:pPr>
      <w:r>
        <w:rPr>
          <w:rFonts w:ascii="仿宋" w:eastAsia="仿宋" w:hAnsi="仿宋"/>
          <w:sz w:val="30"/>
          <w:szCs w:val="30"/>
        </w:rPr>
        <w:t>2.员工与管理层关系</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管理层能够做到严于律己，关心爱护下属，有效</w:t>
      </w:r>
      <w:proofErr w:type="gramStart"/>
      <w:r>
        <w:rPr>
          <w:rFonts w:ascii="仿宋" w:eastAsia="仿宋" w:hAnsi="仿宋" w:hint="eastAsia"/>
          <w:sz w:val="30"/>
          <w:szCs w:val="30"/>
        </w:rPr>
        <w:t>构建员工</w:t>
      </w:r>
      <w:proofErr w:type="gramEnd"/>
      <w:r>
        <w:rPr>
          <w:rFonts w:ascii="仿宋" w:eastAsia="仿宋" w:hAnsi="仿宋" w:hint="eastAsia"/>
          <w:sz w:val="30"/>
          <w:szCs w:val="30"/>
        </w:rPr>
        <w:t>沟通渠道，搭建合理的晋升平台。公司在</w:t>
      </w:r>
      <w:r>
        <w:rPr>
          <w:rFonts w:ascii="仿宋" w:eastAsia="仿宋" w:hAnsi="仿宋"/>
          <w:sz w:val="30"/>
          <w:szCs w:val="30"/>
        </w:rPr>
        <w:t>OA管理系统中开设“董事长意见箱”，员工对公司经营管理、业务建设等方面如有任何</w:t>
      </w:r>
      <w:r>
        <w:rPr>
          <w:rFonts w:ascii="仿宋" w:eastAsia="仿宋" w:hAnsi="仿宋"/>
          <w:sz w:val="30"/>
          <w:szCs w:val="30"/>
        </w:rPr>
        <w:lastRenderedPageBreak/>
        <w:t>意见或建议，均可与董事长直接沟通。公司每年不定定期举办“我为公司发展建议献策”征文活动，营造务实、高效、包容、创新的企业文化氛围，挖掘和培养适用人才。</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3.职业健康与安全</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公司关心员工身心健康，每年组织全体员工常规体检；夏天做好防暑降温措施，免费发放防暑药品；雾</w:t>
      </w:r>
      <w:proofErr w:type="gramStart"/>
      <w:r>
        <w:rPr>
          <w:rFonts w:ascii="仿宋" w:eastAsia="仿宋" w:hAnsi="仿宋" w:hint="eastAsia"/>
          <w:sz w:val="30"/>
          <w:szCs w:val="30"/>
        </w:rPr>
        <w:t>霾</w:t>
      </w:r>
      <w:proofErr w:type="gramEnd"/>
      <w:r>
        <w:rPr>
          <w:rFonts w:ascii="仿宋" w:eastAsia="仿宋" w:hAnsi="仿宋" w:hint="eastAsia"/>
          <w:sz w:val="30"/>
          <w:szCs w:val="30"/>
        </w:rPr>
        <w:t>天气时做好警示工作，并免费发放口罩。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4.员工的福利与社会保障</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为在岗员工足额缴纳各项法定社会保险与福利，主要包括基本养老保险、基本医疗保险、失业保险、工伤保险、生育保险、住房公积金等。公司拨付专款用于员工开展丰富多彩业余文体活动，鼓励和倡导员工健康生活，快乐工作。公司成立了阅读角，让员工在工作之余进行思维碰撞。每个月定期组织员工生日会，传递公司对员工生日的祝福。每年至少组织一次素质拓展活动，加强促进组织凝聚力。</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sz w:val="30"/>
          <w:szCs w:val="30"/>
        </w:rPr>
        <w:t>5.培训与教育</w:t>
      </w:r>
    </w:p>
    <w:p w:rsidR="000D3BEB" w:rsidRPr="00D9353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公司高度重视员工的培训与教育工作，针对员工的自身特点及业务发展需要，主要从合</w:t>
      </w:r>
      <w:proofErr w:type="gramStart"/>
      <w:r>
        <w:rPr>
          <w:rFonts w:ascii="仿宋" w:eastAsia="仿宋" w:hAnsi="仿宋" w:hint="eastAsia"/>
          <w:sz w:val="30"/>
          <w:szCs w:val="30"/>
        </w:rPr>
        <w:t>规</w:t>
      </w:r>
      <w:proofErr w:type="gramEnd"/>
      <w:r>
        <w:rPr>
          <w:rFonts w:ascii="仿宋" w:eastAsia="仿宋" w:hAnsi="仿宋" w:hint="eastAsia"/>
          <w:sz w:val="30"/>
          <w:szCs w:val="30"/>
        </w:rPr>
        <w:t>、营销、开户、交易、反洗钱等环节对员工进行培训，提高员工的专业能力。培训形式主要包括授课式、内部讲座、分组研讨、外部拓展等。在历次的培训中，公司管理层及员工积极参与，并认为相关培训活动的开展对其实际工作具有一定的帮助及指导作用，也针对其中的不足之处提出了</w:t>
      </w:r>
      <w:r w:rsidRPr="00D9353B">
        <w:rPr>
          <w:rFonts w:ascii="仿宋" w:eastAsia="仿宋" w:hAnsi="仿宋" w:hint="eastAsia"/>
          <w:sz w:val="30"/>
          <w:szCs w:val="30"/>
        </w:rPr>
        <w:t>改进建议，为今后培训工作质量的提升指明了方向。</w:t>
      </w:r>
    </w:p>
    <w:p w:rsidR="000D3BEB" w:rsidRPr="00D9353B" w:rsidRDefault="00C52F37">
      <w:pPr>
        <w:adjustRightInd w:val="0"/>
        <w:snapToGrid w:val="0"/>
        <w:spacing w:beforeLines="50" w:before="156" w:line="360" w:lineRule="auto"/>
        <w:ind w:firstLineChars="200" w:firstLine="602"/>
        <w:rPr>
          <w:rFonts w:ascii="仿宋" w:eastAsia="仿宋" w:hAnsi="仿宋"/>
          <w:b/>
          <w:bCs/>
          <w:sz w:val="30"/>
          <w:szCs w:val="30"/>
        </w:rPr>
      </w:pPr>
      <w:r w:rsidRPr="00D9353B">
        <w:rPr>
          <w:rFonts w:ascii="仿宋" w:eastAsia="仿宋" w:hAnsi="仿宋" w:hint="eastAsia"/>
          <w:b/>
          <w:bCs/>
          <w:sz w:val="30"/>
          <w:szCs w:val="30"/>
        </w:rPr>
        <w:lastRenderedPageBreak/>
        <w:t>（三）员工权利</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sz w:val="30"/>
          <w:szCs w:val="30"/>
        </w:rPr>
        <w:t>1．工会组织现状及作用</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公司目前尚未成立工会组织。</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sz w:val="30"/>
          <w:szCs w:val="30"/>
        </w:rPr>
        <w:t>2．员工权利的保障</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公司根据国家法律法规以及公司各项规章制度规定，保证员工工作、休假等权利。</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sz w:val="30"/>
          <w:szCs w:val="30"/>
        </w:rPr>
        <w:t>3．社会影响</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w:t>
      </w:r>
      <w:r w:rsidRPr="00D9353B">
        <w:rPr>
          <w:rFonts w:ascii="仿宋" w:eastAsia="仿宋" w:hAnsi="仿宋"/>
          <w:sz w:val="30"/>
          <w:szCs w:val="30"/>
        </w:rPr>
        <w:t>1）与社区的沟通以及为社区所做贡献</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公司在稳健经营不断创造经济效益的同时，始终兼顾社会效益，依法纳税，履行社会责任，促进经济发展，为社会创造财富。</w:t>
      </w:r>
      <w:r w:rsidRPr="00D9353B">
        <w:rPr>
          <w:rFonts w:ascii="仿宋" w:eastAsia="仿宋" w:hAnsi="仿宋"/>
          <w:sz w:val="30"/>
          <w:szCs w:val="30"/>
        </w:rPr>
        <w:t>201</w:t>
      </w:r>
      <w:r w:rsidRPr="00D9353B">
        <w:rPr>
          <w:rFonts w:ascii="仿宋" w:eastAsia="仿宋" w:hAnsi="仿宋" w:hint="eastAsia"/>
          <w:sz w:val="30"/>
          <w:szCs w:val="30"/>
        </w:rPr>
        <w:t>9</w:t>
      </w:r>
      <w:r w:rsidRPr="00D9353B">
        <w:rPr>
          <w:rFonts w:ascii="仿宋" w:eastAsia="仿宋" w:hAnsi="仿宋"/>
          <w:sz w:val="30"/>
          <w:szCs w:val="30"/>
        </w:rPr>
        <w:t>年，公司累计缴纳各项税款3</w:t>
      </w:r>
      <w:r w:rsidRPr="00D9353B">
        <w:rPr>
          <w:rFonts w:ascii="仿宋" w:eastAsia="仿宋" w:hAnsi="仿宋" w:hint="eastAsia"/>
          <w:sz w:val="30"/>
          <w:szCs w:val="30"/>
        </w:rPr>
        <w:t>,</w:t>
      </w:r>
      <w:r w:rsidRPr="00D9353B">
        <w:rPr>
          <w:rFonts w:ascii="仿宋" w:eastAsia="仿宋" w:hAnsi="仿宋"/>
          <w:sz w:val="30"/>
          <w:szCs w:val="30"/>
        </w:rPr>
        <w:t>270</w:t>
      </w:r>
      <w:r w:rsidRPr="00D9353B">
        <w:rPr>
          <w:rFonts w:ascii="仿宋" w:eastAsia="仿宋" w:hAnsi="仿宋" w:hint="eastAsia"/>
          <w:sz w:val="30"/>
          <w:szCs w:val="30"/>
        </w:rPr>
        <w:t>,</w:t>
      </w:r>
      <w:r w:rsidRPr="00D9353B">
        <w:rPr>
          <w:rFonts w:ascii="仿宋" w:eastAsia="仿宋" w:hAnsi="仿宋"/>
          <w:sz w:val="30"/>
          <w:szCs w:val="30"/>
        </w:rPr>
        <w:t>259.02元，积极为社会发展做出自身的贡献。</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（2）良好的商业道德与职业操守</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合</w:t>
      </w:r>
      <w:proofErr w:type="gramStart"/>
      <w:r w:rsidRPr="00D9353B">
        <w:rPr>
          <w:rFonts w:ascii="仿宋" w:eastAsia="仿宋" w:hAnsi="仿宋" w:hint="eastAsia"/>
          <w:sz w:val="30"/>
          <w:szCs w:val="30"/>
        </w:rPr>
        <w:t>规</w:t>
      </w:r>
      <w:proofErr w:type="gramEnd"/>
      <w:r w:rsidRPr="00D9353B">
        <w:rPr>
          <w:rFonts w:ascii="仿宋" w:eastAsia="仿宋" w:hAnsi="仿宋" w:hint="eastAsia"/>
          <w:sz w:val="30"/>
          <w:szCs w:val="30"/>
        </w:rPr>
        <w:t>和风险管理是公司持续健康发展的基础，公司建立了以首席风险官为核心的合</w:t>
      </w:r>
      <w:proofErr w:type="gramStart"/>
      <w:r w:rsidRPr="00D9353B">
        <w:rPr>
          <w:rFonts w:ascii="仿宋" w:eastAsia="仿宋" w:hAnsi="仿宋" w:hint="eastAsia"/>
          <w:sz w:val="30"/>
          <w:szCs w:val="30"/>
        </w:rPr>
        <w:t>规</w:t>
      </w:r>
      <w:proofErr w:type="gramEnd"/>
      <w:r w:rsidRPr="00D9353B">
        <w:rPr>
          <w:rFonts w:ascii="仿宋" w:eastAsia="仿宋" w:hAnsi="仿宋" w:hint="eastAsia"/>
          <w:sz w:val="30"/>
          <w:szCs w:val="30"/>
        </w:rPr>
        <w:t>风险管理体系。首席风险官以“报告制度”为抓手具体开展日常工作。按照“制度先行、规范起步”，不断完善公司制度体系建设；通过完善组织职能、落实岗位职责等组织体系建设，强化制衡，将内控机制落实到岗、到人；明晰前、中、后台各操作环节风险关键点，强化责任承担和责任追究，切实推进全面风险管理；把培训、稽核和纠偏紧密结合在一起，推动合</w:t>
      </w:r>
      <w:proofErr w:type="gramStart"/>
      <w:r w:rsidRPr="00D9353B">
        <w:rPr>
          <w:rFonts w:ascii="仿宋" w:eastAsia="仿宋" w:hAnsi="仿宋" w:hint="eastAsia"/>
          <w:sz w:val="30"/>
          <w:szCs w:val="30"/>
        </w:rPr>
        <w:t>规</w:t>
      </w:r>
      <w:proofErr w:type="gramEnd"/>
      <w:r w:rsidRPr="00D9353B">
        <w:rPr>
          <w:rFonts w:ascii="仿宋" w:eastAsia="仿宋" w:hAnsi="仿宋" w:hint="eastAsia"/>
          <w:sz w:val="30"/>
          <w:szCs w:val="30"/>
        </w:rPr>
        <w:t>理念和合</w:t>
      </w:r>
      <w:proofErr w:type="gramStart"/>
      <w:r w:rsidRPr="00D9353B">
        <w:rPr>
          <w:rFonts w:ascii="仿宋" w:eastAsia="仿宋" w:hAnsi="仿宋" w:hint="eastAsia"/>
          <w:sz w:val="30"/>
          <w:szCs w:val="30"/>
        </w:rPr>
        <w:t>规</w:t>
      </w:r>
      <w:proofErr w:type="gramEnd"/>
      <w:r w:rsidRPr="00D9353B">
        <w:rPr>
          <w:rFonts w:ascii="仿宋" w:eastAsia="仿宋" w:hAnsi="仿宋" w:hint="eastAsia"/>
          <w:sz w:val="30"/>
          <w:szCs w:val="30"/>
        </w:rPr>
        <w:t>氛围的形成，促进公司行为合</w:t>
      </w:r>
      <w:proofErr w:type="gramStart"/>
      <w:r w:rsidRPr="00D9353B">
        <w:rPr>
          <w:rFonts w:ascii="仿宋" w:eastAsia="仿宋" w:hAnsi="仿宋" w:hint="eastAsia"/>
          <w:sz w:val="30"/>
          <w:szCs w:val="30"/>
        </w:rPr>
        <w:t>规</w:t>
      </w:r>
      <w:proofErr w:type="gramEnd"/>
      <w:r w:rsidRPr="00D9353B">
        <w:rPr>
          <w:rFonts w:ascii="仿宋" w:eastAsia="仿宋" w:hAnsi="仿宋" w:hint="eastAsia"/>
          <w:sz w:val="30"/>
          <w:szCs w:val="30"/>
        </w:rPr>
        <w:t>、高效，促进公司健康、快速发展。</w:t>
      </w:r>
    </w:p>
    <w:p w:rsidR="000D3BEB" w:rsidRPr="00D9353B" w:rsidRDefault="00C52F37">
      <w:pPr>
        <w:adjustRightInd w:val="0"/>
        <w:snapToGrid w:val="0"/>
        <w:spacing w:line="360" w:lineRule="auto"/>
        <w:ind w:firstLineChars="200" w:firstLine="600"/>
        <w:rPr>
          <w:rFonts w:ascii="仿宋" w:eastAsia="仿宋" w:hAnsi="仿宋"/>
          <w:sz w:val="30"/>
          <w:szCs w:val="30"/>
        </w:rPr>
      </w:pPr>
      <w:r w:rsidRPr="00D9353B">
        <w:rPr>
          <w:rFonts w:ascii="仿宋" w:eastAsia="仿宋" w:hAnsi="仿宋" w:hint="eastAsia"/>
          <w:sz w:val="30"/>
          <w:szCs w:val="30"/>
        </w:rPr>
        <w:t>公司建立了反洗钱内控制度并有效执行。公司在网站设有反洗钱专栏；采用</w:t>
      </w:r>
      <w:r w:rsidRPr="00D9353B">
        <w:rPr>
          <w:rFonts w:ascii="仿宋" w:eastAsia="仿宋" w:hAnsi="仿宋"/>
          <w:sz w:val="30"/>
          <w:szCs w:val="30"/>
        </w:rPr>
        <w:t>CRM系统进行客户身份识别、风险等级划分并对</w:t>
      </w:r>
      <w:r w:rsidRPr="00D9353B">
        <w:rPr>
          <w:rFonts w:ascii="仿宋" w:eastAsia="仿宋" w:hAnsi="仿宋"/>
          <w:sz w:val="30"/>
          <w:szCs w:val="30"/>
        </w:rPr>
        <w:lastRenderedPageBreak/>
        <w:t>大额交易、可疑交易进行筛选、甄别；在与客户建立业务关系后，及时将客户按高、中、较低、低风险等级进行划分，定期或不定期对客户风险等级进行跟进调整，并对高风险客户采取强化的管控措施；根据公安部等我国有权部门、中国人民银行、联合国发布的恐怖组织、恐怖分子等洗钱监控名单，在与客户建立业务关系时进行核对，在名单调整时，公司会立即对存量客户以及上溯三年内的交易开展回溯性调查，并按规定提交可疑交易报告。</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3）公益及慈善事业</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公司秉承“天道酬勤、以人为本”的文化理念和“支持政府、回报社会、造福人民”的立业宗旨，以高度的政治使命感和社会责任感，在追求企业发展的同时积极回馈社会，新冠疫情期间积极向疫区捐款</w:t>
      </w:r>
      <w:r>
        <w:rPr>
          <w:rFonts w:ascii="仿宋" w:eastAsia="仿宋" w:hAnsi="仿宋" w:cs="仿宋"/>
          <w:color w:val="000000"/>
          <w:sz w:val="28"/>
          <w:szCs w:val="28"/>
          <w:shd w:val="clear" w:color="auto" w:fill="FFFFFF"/>
        </w:rPr>
        <w:t>157.1318</w:t>
      </w:r>
      <w:r>
        <w:rPr>
          <w:rFonts w:ascii="仿宋" w:eastAsia="仿宋" w:hAnsi="仿宋" w:cs="仿宋" w:hint="eastAsia"/>
          <w:color w:val="000000"/>
          <w:sz w:val="28"/>
          <w:szCs w:val="28"/>
          <w:shd w:val="clear" w:color="auto" w:fill="FFFFFF"/>
        </w:rPr>
        <w:t>万元</w:t>
      </w:r>
      <w:r>
        <w:rPr>
          <w:rFonts w:ascii="仿宋" w:eastAsia="仿宋" w:hAnsi="仿宋" w:hint="eastAsia"/>
          <w:sz w:val="30"/>
          <w:szCs w:val="30"/>
        </w:rPr>
        <w:t>，为防疫工作贡献期货力量。</w:t>
      </w:r>
    </w:p>
    <w:p w:rsidR="000D3BEB" w:rsidRDefault="00C52F37">
      <w:pPr>
        <w:adjustRightInd w:val="0"/>
        <w:snapToGrid w:val="0"/>
        <w:spacing w:beforeLines="50" w:before="156" w:line="360" w:lineRule="auto"/>
        <w:ind w:firstLineChars="200" w:firstLine="602"/>
        <w:rPr>
          <w:rFonts w:ascii="仿宋" w:eastAsia="仿宋" w:hAnsi="仿宋"/>
          <w:b/>
          <w:bCs/>
          <w:sz w:val="30"/>
          <w:szCs w:val="30"/>
        </w:rPr>
      </w:pPr>
      <w:r>
        <w:rPr>
          <w:rFonts w:ascii="仿宋" w:eastAsia="仿宋" w:hAnsi="仿宋" w:hint="eastAsia"/>
          <w:b/>
          <w:bCs/>
          <w:sz w:val="30"/>
          <w:szCs w:val="30"/>
        </w:rPr>
        <w:t>六、环境责任与业绩</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高度重视环境保护工作，号召员工从身边做起，从细节做起，鼓励员工合理使用资源，倡导全体员工共同遵守绿色办公理念，提出“节约每一度电、每一滴水、每一张纸”的口号，倡导“节约资源、减少污染、重复使用、多次利用、循环回收”的行为，培养员工热爱环境，善待自然的工作和生活习惯。积极</w:t>
      </w:r>
      <w:proofErr w:type="gramStart"/>
      <w:r>
        <w:rPr>
          <w:rFonts w:ascii="仿宋" w:eastAsia="仿宋" w:hAnsi="仿宋" w:hint="eastAsia"/>
          <w:sz w:val="30"/>
          <w:szCs w:val="30"/>
        </w:rPr>
        <w:t>践行</w:t>
      </w:r>
      <w:proofErr w:type="gramEnd"/>
      <w:r>
        <w:rPr>
          <w:rFonts w:ascii="仿宋" w:eastAsia="仿宋" w:hAnsi="仿宋" w:hint="eastAsia"/>
          <w:sz w:val="30"/>
          <w:szCs w:val="30"/>
        </w:rPr>
        <w:t>绿色办公，公文通过内部</w:t>
      </w:r>
      <w:r>
        <w:rPr>
          <w:rFonts w:ascii="仿宋" w:eastAsia="仿宋" w:hAnsi="仿宋"/>
          <w:sz w:val="30"/>
          <w:szCs w:val="30"/>
        </w:rPr>
        <w:t>OA系统流转，减少纸质文件的印发，倡导员工双面用纸，循环使用打印机碳粉盒，利用现有库存办公家具，规范报废资产处置；加强用水用电管理及办公设备、易耗品的节能管理，购置可更换笔芯的原子笔和签字笔，提倡自带水杯减少一次</w:t>
      </w:r>
      <w:r>
        <w:rPr>
          <w:rFonts w:ascii="仿宋" w:eastAsia="仿宋" w:hAnsi="仿宋" w:hint="eastAsia"/>
          <w:sz w:val="30"/>
          <w:szCs w:val="30"/>
        </w:rPr>
        <w:t>性水杯的使用量。通过这些一系列的举措，让所有员</w:t>
      </w:r>
      <w:r>
        <w:rPr>
          <w:rFonts w:ascii="仿宋" w:eastAsia="仿宋" w:hAnsi="仿宋" w:hint="eastAsia"/>
          <w:sz w:val="30"/>
          <w:szCs w:val="30"/>
        </w:rPr>
        <w:lastRenderedPageBreak/>
        <w:t>工养成自觉的低碳生活行为方式。</w:t>
      </w:r>
    </w:p>
    <w:p w:rsidR="000D3BEB" w:rsidRDefault="00C52F37">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未来，中</w:t>
      </w:r>
      <w:proofErr w:type="gramStart"/>
      <w:r>
        <w:rPr>
          <w:rFonts w:ascii="仿宋" w:eastAsia="仿宋" w:hAnsi="仿宋" w:hint="eastAsia"/>
          <w:sz w:val="30"/>
          <w:szCs w:val="30"/>
        </w:rPr>
        <w:t>融汇</w:t>
      </w:r>
      <w:proofErr w:type="gramEnd"/>
      <w:r>
        <w:rPr>
          <w:rFonts w:ascii="仿宋" w:eastAsia="仿宋" w:hAnsi="仿宋" w:hint="eastAsia"/>
          <w:sz w:val="30"/>
          <w:szCs w:val="30"/>
        </w:rPr>
        <w:t>信期货将继续秉承可持续发展战略，以高度的社会责任感做好企业的经营管理，完善内控机制，保护投资者利益，为股东创造价值，接受社会各界的监督。在不断提高经济效益的同时，维护员工的合法权益，为员工提供更为广阔的学习平台和更大的发展空间，积极参与社会公益事业和生态环境保护，在更多的领域更好的承担和履行企业的社会责任，为社会、经济、环境的和谐发展贡献更大的力量。</w:t>
      </w:r>
    </w:p>
    <w:sectPr w:rsidR="000D3BE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0164" w:rsidRDefault="006A0164" w:rsidP="00C52F37">
      <w:r>
        <w:separator/>
      </w:r>
    </w:p>
  </w:endnote>
  <w:endnote w:type="continuationSeparator" w:id="0">
    <w:p w:rsidR="006A0164" w:rsidRDefault="006A0164" w:rsidP="00C5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205800"/>
      <w:docPartObj>
        <w:docPartGallery w:val="Page Numbers (Bottom of Page)"/>
        <w:docPartUnique/>
      </w:docPartObj>
    </w:sdtPr>
    <w:sdtEndPr/>
    <w:sdtContent>
      <w:p w:rsidR="00C52F37" w:rsidRDefault="00C52F37">
        <w:pPr>
          <w:pStyle w:val="a3"/>
          <w:jc w:val="center"/>
        </w:pPr>
        <w:r>
          <w:fldChar w:fldCharType="begin"/>
        </w:r>
        <w:r>
          <w:instrText>PAGE   \* MERGEFORMAT</w:instrText>
        </w:r>
        <w:r>
          <w:fldChar w:fldCharType="separate"/>
        </w:r>
        <w:r>
          <w:rPr>
            <w:lang w:val="zh-CN"/>
          </w:rPr>
          <w:t>2</w:t>
        </w:r>
        <w:r>
          <w:fldChar w:fldCharType="end"/>
        </w:r>
      </w:p>
    </w:sdtContent>
  </w:sdt>
  <w:p w:rsidR="00C52F37" w:rsidRDefault="00C52F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0164" w:rsidRDefault="006A0164" w:rsidP="00C52F37">
      <w:r>
        <w:separator/>
      </w:r>
    </w:p>
  </w:footnote>
  <w:footnote w:type="continuationSeparator" w:id="0">
    <w:p w:rsidR="006A0164" w:rsidRDefault="006A0164" w:rsidP="00C52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01"/>
    <w:rsid w:val="00026763"/>
    <w:rsid w:val="00052FDE"/>
    <w:rsid w:val="00084B94"/>
    <w:rsid w:val="000D3BEB"/>
    <w:rsid w:val="000D547F"/>
    <w:rsid w:val="001051CA"/>
    <w:rsid w:val="00124B97"/>
    <w:rsid w:val="001313B9"/>
    <w:rsid w:val="00143843"/>
    <w:rsid w:val="00164D05"/>
    <w:rsid w:val="001A0734"/>
    <w:rsid w:val="001C1E7B"/>
    <w:rsid w:val="00292870"/>
    <w:rsid w:val="0029360F"/>
    <w:rsid w:val="002C2EAB"/>
    <w:rsid w:val="00325F59"/>
    <w:rsid w:val="003334AE"/>
    <w:rsid w:val="003553F0"/>
    <w:rsid w:val="00355F23"/>
    <w:rsid w:val="003B4C93"/>
    <w:rsid w:val="003C7C9A"/>
    <w:rsid w:val="003E40F5"/>
    <w:rsid w:val="0045083D"/>
    <w:rsid w:val="004676F2"/>
    <w:rsid w:val="0058780A"/>
    <w:rsid w:val="005D4AEE"/>
    <w:rsid w:val="00600F27"/>
    <w:rsid w:val="006A0164"/>
    <w:rsid w:val="006C409F"/>
    <w:rsid w:val="00703549"/>
    <w:rsid w:val="007044BA"/>
    <w:rsid w:val="007832BF"/>
    <w:rsid w:val="00784BA5"/>
    <w:rsid w:val="0078698B"/>
    <w:rsid w:val="007C5CB5"/>
    <w:rsid w:val="007E46E8"/>
    <w:rsid w:val="00835B9F"/>
    <w:rsid w:val="008767B8"/>
    <w:rsid w:val="00877465"/>
    <w:rsid w:val="008B4C8D"/>
    <w:rsid w:val="008D012C"/>
    <w:rsid w:val="008F3F04"/>
    <w:rsid w:val="00926B78"/>
    <w:rsid w:val="00961384"/>
    <w:rsid w:val="009B02F7"/>
    <w:rsid w:val="009B1052"/>
    <w:rsid w:val="009B4E3F"/>
    <w:rsid w:val="00A378FB"/>
    <w:rsid w:val="00B4724A"/>
    <w:rsid w:val="00C52F37"/>
    <w:rsid w:val="00C708E6"/>
    <w:rsid w:val="00C930B6"/>
    <w:rsid w:val="00CA4CCF"/>
    <w:rsid w:val="00CB1885"/>
    <w:rsid w:val="00D22478"/>
    <w:rsid w:val="00D62B7E"/>
    <w:rsid w:val="00D83803"/>
    <w:rsid w:val="00D9353B"/>
    <w:rsid w:val="00DC0BBC"/>
    <w:rsid w:val="00DD2984"/>
    <w:rsid w:val="00DF1301"/>
    <w:rsid w:val="00E2574D"/>
    <w:rsid w:val="00E81E98"/>
    <w:rsid w:val="00EC09D8"/>
    <w:rsid w:val="00ED779E"/>
    <w:rsid w:val="00F17E83"/>
    <w:rsid w:val="00F870CB"/>
    <w:rsid w:val="05A61E3C"/>
    <w:rsid w:val="3EB15973"/>
    <w:rsid w:val="6ECE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AF35"/>
  <w15:docId w15:val="{AA3CD6CE-6398-4DDB-A058-DA61283A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semiHidden/>
    <w:unhideWhenUsed/>
    <w:qFormat/>
    <w:pPr>
      <w:snapToGrid w:val="0"/>
      <w:jc w:val="left"/>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styleId="ab">
    <w:name w:val="footnote reference"/>
    <w:basedOn w:val="a0"/>
    <w:uiPriority w:val="99"/>
    <w:semiHidden/>
    <w:unhideWhenUsed/>
    <w:qFormat/>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2">
    <w:name w:val="列出段落2"/>
    <w:basedOn w:val="a"/>
    <w:uiPriority w:val="99"/>
    <w:qFormat/>
    <w:pPr>
      <w:ind w:firstLineChars="200" w:firstLine="420"/>
    </w:pPr>
  </w:style>
  <w:style w:type="character" w:customStyle="1" w:styleId="a8">
    <w:name w:val="脚注文本 字符"/>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qhrb.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76333-232C-46D5-807D-FBE826A7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hanwen</dc:creator>
  <cp:lastModifiedBy>xu hanwen</cp:lastModifiedBy>
  <cp:revision>31</cp:revision>
  <dcterms:created xsi:type="dcterms:W3CDTF">2020-04-21T01:32:00Z</dcterms:created>
  <dcterms:modified xsi:type="dcterms:W3CDTF">2020-04-30T01:56:00Z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