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 w:leftChars="-295" w:hanging="616" w:hangingChars="140"/>
        <w:jc w:val="center"/>
        <w:rPr>
          <w:rFonts w:ascii="黑体" w:hAnsi="黑体" w:eastAsia="黑体"/>
          <w:sz w:val="36"/>
          <w:szCs w:val="36"/>
        </w:rPr>
      </w:pPr>
      <w:r>
        <w:rPr>
          <w:rFonts w:ascii="黑体" w:eastAsia="黑体"/>
          <w:sz w:val="44"/>
          <w:szCs w:val="44"/>
        </w:rPr>
        <w:drawing>
          <wp:anchor distT="0" distB="0" distL="114300" distR="114300" simplePos="0" relativeHeight="251662336" behindDoc="0" locked="0" layoutInCell="1" allowOverlap="1">
            <wp:simplePos x="0" y="0"/>
            <wp:positionH relativeFrom="column">
              <wp:posOffset>-1136650</wp:posOffset>
            </wp:positionH>
            <wp:positionV relativeFrom="paragraph">
              <wp:posOffset>-1024890</wp:posOffset>
            </wp:positionV>
            <wp:extent cx="7559675" cy="11350625"/>
            <wp:effectExtent l="0" t="0" r="3175" b="3175"/>
            <wp:wrapTopAndBottom/>
            <wp:docPr id="4" name="图片 4" descr="847368a3580e8f4e857ad01711db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47368a3580e8f4e857ad01711db6ab"/>
                    <pic:cNvPicPr>
                      <a:picLocks noChangeAspect="1"/>
                    </pic:cNvPicPr>
                  </pic:nvPicPr>
                  <pic:blipFill>
                    <a:blip r:embed="rId6"/>
                    <a:stretch>
                      <a:fillRect/>
                    </a:stretch>
                  </pic:blipFill>
                  <pic:spPr>
                    <a:xfrm>
                      <a:off x="0" y="0"/>
                      <a:ext cx="7559675" cy="11350625"/>
                    </a:xfrm>
                    <a:prstGeom prst="rect">
                      <a:avLst/>
                    </a:prstGeom>
                  </pic:spPr>
                </pic:pic>
              </a:graphicData>
            </a:graphic>
          </wp:anchor>
        </w:drawing>
      </w:r>
    </w:p>
    <w:p>
      <w:pPr>
        <w:autoSpaceDE w:val="0"/>
        <w:autoSpaceDN w:val="0"/>
        <w:adjustRightInd w:val="0"/>
        <w:jc w:val="center"/>
        <w:rPr>
          <w:rFonts w:ascii="黑体" w:eastAsia="黑体"/>
          <w:sz w:val="44"/>
          <w:szCs w:val="44"/>
        </w:rPr>
      </w:pPr>
      <w:r>
        <w:rPr>
          <w:rFonts w:hint="eastAsia" w:ascii="黑体" w:eastAsia="黑体"/>
          <w:sz w:val="44"/>
          <w:szCs w:val="44"/>
        </w:rPr>
        <w:t>海通期货2019年社会责任报告（摘要）</w:t>
      </w:r>
    </w:p>
    <w:p>
      <w:pPr>
        <w:autoSpaceDE w:val="0"/>
        <w:autoSpaceDN w:val="0"/>
        <w:adjustRightInd w:val="0"/>
        <w:ind w:firstLine="721" w:firstLineChars="200"/>
        <w:jc w:val="center"/>
        <w:rPr>
          <w:rFonts w:ascii="华文中宋" w:hAnsi="华文中宋" w:eastAsia="华文中宋"/>
          <w:b/>
          <w:bCs/>
          <w:sz w:val="36"/>
          <w:szCs w:val="36"/>
        </w:rPr>
      </w:pPr>
    </w:p>
    <w:p>
      <w:pPr>
        <w:widowControl/>
        <w:ind w:firstLine="600" w:firstLineChars="200"/>
        <w:rPr>
          <w:rFonts w:ascii="仿宋" w:hAnsi="仿宋" w:eastAsia="仿宋"/>
          <w:sz w:val="30"/>
          <w:szCs w:val="30"/>
        </w:rPr>
      </w:pPr>
      <w:r>
        <w:rPr>
          <w:rFonts w:hint="eastAsia" w:ascii="仿宋" w:hAnsi="仿宋" w:eastAsia="仿宋"/>
          <w:sz w:val="30"/>
          <w:szCs w:val="30"/>
        </w:rPr>
        <w:t>2019年，海通期货以习近平新时代中国特色社会主义思想为引领，以围绕服务实体经济为根本宗旨，不断加强党的建设、提升风险管理和财富管理能力，为提升实体经济发展效率、服务国家脱贫攻坚战略贡献我们的智慧与力量，履行社会公民责任。</w:t>
      </w:r>
    </w:p>
    <w:p>
      <w:pPr>
        <w:widowControl/>
        <w:ind w:firstLine="600" w:firstLineChars="200"/>
        <w:rPr>
          <w:rFonts w:ascii="仿宋" w:hAnsi="仿宋" w:eastAsia="仿宋"/>
          <w:sz w:val="30"/>
          <w:szCs w:val="30"/>
        </w:rPr>
      </w:pPr>
      <w:r>
        <w:rPr>
          <w:rFonts w:hint="eastAsia" w:ascii="仿宋" w:hAnsi="仿宋" w:eastAsia="仿宋"/>
          <w:sz w:val="30"/>
          <w:szCs w:val="30"/>
        </w:rPr>
        <w:t>本公司各项业务保持稳健发展态势，2019年公司合并营业收入75.19亿元，同比增长19%；以单边计算，期货代理成交额19.828万亿元，市场份额为6.82%；合并净利润2.15亿元；期末客户权益209.39亿元；资产管理业务规模近91.16亿元；风险管理子公司、香港子公司业务均获得提升。</w:t>
      </w:r>
    </w:p>
    <w:p>
      <w:pPr>
        <w:widowControl/>
        <w:ind w:firstLine="600" w:firstLineChars="200"/>
        <w:rPr>
          <w:rFonts w:ascii="仿宋" w:hAnsi="仿宋" w:eastAsia="仿宋"/>
          <w:sz w:val="30"/>
          <w:szCs w:val="30"/>
        </w:rPr>
      </w:pPr>
      <w:r>
        <w:rPr>
          <w:rFonts w:hint="eastAsia" w:ascii="仿宋" w:hAnsi="仿宋" w:eastAsia="仿宋"/>
          <w:sz w:val="30"/>
          <w:szCs w:val="30"/>
        </w:rPr>
        <w:t>公司全年共开展2个“保险+期货”及1个场外期权试点项目，参与了1个“保险+期货”扶贫试点项目，覆盖云南金平县、黑龙江桦川县等4个国家级贫困县，取得了良好的保障效果；同时，公司参与中期协在证监会定点扶贫新疆麦盖提县组织的联合精准帮扶活动，与麦盖提县签订结对帮扶协议，投入70万元用于当地新建日光温室大棚，帮助当地46户脱贫户实现就业分红。此外，响应各地监管部门、协会号召，在乡村基建、街道公益、拥军优属、教育扶贫等方面捐资捐款，采购贫困地区优质农副产品，总计金额超过40万元；形成了自身的“精准滴灌工作法”扶贫党建品牌。在慈善公益方面，持续关爱社区失独老人，获得2018-2019年浦东新区慈善公益奖，并获推参评“中华慈善奖”。</w:t>
      </w:r>
    </w:p>
    <w:p>
      <w:pPr>
        <w:widowControl/>
        <w:ind w:firstLine="600" w:firstLineChars="200"/>
        <w:rPr>
          <w:rFonts w:ascii="仿宋" w:hAnsi="仿宋" w:eastAsia="仿宋"/>
          <w:sz w:val="30"/>
          <w:szCs w:val="30"/>
        </w:rPr>
      </w:pPr>
      <w:r>
        <w:rPr>
          <w:rFonts w:hint="eastAsia" w:ascii="仿宋" w:hAnsi="仿宋" w:eastAsia="仿宋"/>
          <w:sz w:val="30"/>
          <w:szCs w:val="30"/>
        </w:rPr>
        <w:t>公司积极履行节能环保责任，热心参与社会公益事业，大力开展投资者教育活动，为行业发展贡献力量。</w:t>
      </w:r>
    </w:p>
    <w:p>
      <w:pPr>
        <w:widowControl/>
        <w:ind w:firstLine="600" w:firstLineChars="200"/>
        <w:rPr>
          <w:rFonts w:ascii="仿宋" w:hAnsi="仿宋" w:eastAsia="仿宋"/>
          <w:sz w:val="30"/>
          <w:szCs w:val="30"/>
        </w:rPr>
      </w:pPr>
      <w:r>
        <w:rPr>
          <w:rFonts w:hint="eastAsia" w:ascii="仿宋" w:hAnsi="仿宋" w:eastAsia="仿宋"/>
          <w:sz w:val="30"/>
          <w:szCs w:val="30"/>
        </w:rPr>
        <w:t>2019年，公司还获得上期所年度优秀会员金奖、中金所年度综合奖白金奖等交易所奖项，以及协会、媒体等机构颁发的奖项共计70余项，品牌形象和市场影响力持续提升。</w:t>
      </w:r>
    </w:p>
    <w:p>
      <w:pPr>
        <w:pageBreakBefore/>
        <w:jc w:val="center"/>
        <w:rPr>
          <w:rFonts w:ascii="黑体" w:eastAsia="黑体"/>
          <w:sz w:val="44"/>
          <w:szCs w:val="44"/>
        </w:rPr>
      </w:pPr>
      <w:r>
        <w:rPr>
          <w:rFonts w:hint="eastAsia" w:ascii="黑体" w:eastAsia="黑体"/>
          <w:sz w:val="44"/>
          <w:szCs w:val="44"/>
        </w:rPr>
        <w:t>海通期货股份有限公司</w:t>
      </w:r>
    </w:p>
    <w:p>
      <w:pPr>
        <w:jc w:val="center"/>
        <w:rPr>
          <w:rFonts w:ascii="黑体" w:eastAsia="黑体"/>
          <w:sz w:val="44"/>
          <w:szCs w:val="44"/>
        </w:rPr>
      </w:pPr>
      <w:r>
        <w:rPr>
          <w:rFonts w:hint="eastAsia" w:ascii="黑体" w:eastAsia="黑体"/>
          <w:sz w:val="44"/>
          <w:szCs w:val="44"/>
        </w:rPr>
        <w:t>2019年社会责任报告</w:t>
      </w:r>
    </w:p>
    <w:p>
      <w:pPr>
        <w:rPr>
          <w:rFonts w:ascii="仿宋" w:hAnsi="仿宋" w:eastAsia="仿宋"/>
          <w:b/>
          <w:sz w:val="30"/>
          <w:szCs w:val="30"/>
        </w:rPr>
      </w:pPr>
      <w:r>
        <w:rPr>
          <w:rFonts w:hint="eastAsia" w:ascii="仿宋" w:hAnsi="仿宋" w:eastAsia="仿宋"/>
          <w:b/>
          <w:sz w:val="30"/>
          <w:szCs w:val="30"/>
        </w:rPr>
        <w:t>1. 公司愿景与社会责任定位</w:t>
      </w:r>
    </w:p>
    <w:p>
      <w:pPr>
        <w:rPr>
          <w:rFonts w:ascii="仿宋" w:hAnsi="仿宋" w:eastAsia="仿宋"/>
          <w:b/>
          <w:sz w:val="30"/>
          <w:szCs w:val="30"/>
        </w:rPr>
      </w:pPr>
      <w:r>
        <w:rPr>
          <w:rFonts w:hint="eastAsia" w:ascii="仿宋" w:hAnsi="仿宋" w:eastAsia="仿宋"/>
          <w:b/>
          <w:sz w:val="30"/>
          <w:szCs w:val="30"/>
        </w:rPr>
        <w:t>1.1. 公司愿景和发展战略</w:t>
      </w:r>
    </w:p>
    <w:p>
      <w:pPr>
        <w:ind w:firstLine="645"/>
        <w:rPr>
          <w:rFonts w:ascii="仿宋" w:hAnsi="仿宋" w:eastAsia="仿宋"/>
          <w:sz w:val="30"/>
          <w:szCs w:val="30"/>
        </w:rPr>
      </w:pPr>
      <w:r>
        <w:rPr>
          <w:rFonts w:hint="eastAsia" w:ascii="仿宋" w:hAnsi="仿宋" w:eastAsia="仿宋"/>
          <w:sz w:val="30"/>
          <w:szCs w:val="30"/>
        </w:rPr>
        <w:t>基于对宏观经济、监管政策、市场发展趋势的判断和对自身优劣势的分析，海通期货近三年愿景</w:t>
      </w:r>
      <w:r>
        <w:rPr>
          <w:rFonts w:ascii="仿宋" w:hAnsi="仿宋" w:eastAsia="仿宋"/>
          <w:sz w:val="30"/>
          <w:szCs w:val="30"/>
        </w:rPr>
        <w:t>与</w:t>
      </w:r>
      <w:r>
        <w:rPr>
          <w:rFonts w:hint="eastAsia" w:ascii="仿宋" w:hAnsi="仿宋" w:eastAsia="仿宋"/>
          <w:sz w:val="30"/>
          <w:szCs w:val="30"/>
        </w:rPr>
        <w:t>发展战略是：适应实体经济风险管理、资本市场财富管理发展需求，打造“期货经纪业务为主体、风险管理和资产管理为两翼”的业务架构，构建“期货与现货、场内与场外、国内与国际、线上与线下”一体化发展格局，强化全面风险管理、投研结合、集团联动、资金管理、IT与人才保障，成为国内一流的金融衍生品综合服务商。</w:t>
      </w:r>
    </w:p>
    <w:p>
      <w:pPr>
        <w:tabs>
          <w:tab w:val="left" w:pos="6585"/>
        </w:tabs>
        <w:rPr>
          <w:rFonts w:ascii="仿宋" w:hAnsi="仿宋" w:eastAsia="仿宋"/>
          <w:b/>
          <w:sz w:val="30"/>
          <w:szCs w:val="30"/>
        </w:rPr>
      </w:pPr>
      <w:r>
        <w:rPr>
          <w:rFonts w:hint="eastAsia" w:ascii="仿宋" w:hAnsi="仿宋" w:eastAsia="仿宋"/>
          <w:b/>
          <w:sz w:val="30"/>
          <w:szCs w:val="30"/>
        </w:rPr>
        <w:t>1.2． 公司使命和价值观陈述</w:t>
      </w:r>
      <w:r>
        <w:rPr>
          <w:rFonts w:ascii="仿宋" w:hAnsi="仿宋" w:eastAsia="仿宋"/>
          <w:b/>
          <w:sz w:val="30"/>
          <w:szCs w:val="30"/>
        </w:rPr>
        <w:tab/>
      </w:r>
    </w:p>
    <w:p>
      <w:pPr>
        <w:spacing w:line="360" w:lineRule="auto"/>
        <w:ind w:firstLine="600" w:firstLineChars="200"/>
        <w:rPr>
          <w:rFonts w:ascii="仿宋" w:hAnsi="仿宋" w:eastAsia="仿宋"/>
          <w:sz w:val="30"/>
          <w:szCs w:val="30"/>
        </w:rPr>
      </w:pPr>
      <w:r>
        <w:rPr>
          <w:rFonts w:hint="eastAsia" w:ascii="仿宋" w:hAnsi="仿宋" w:eastAsia="仿宋"/>
          <w:sz w:val="30"/>
          <w:szCs w:val="30"/>
        </w:rPr>
        <w:t>●勇担责任、矢志创新、追求卓越，力争成为国内一流的金融衍生品综合服务企业；</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●回报股东、回报员工、回报社会，成为具有核心竞争力和持续盈利能力的现代金融企业；</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●以产业报国和金融强国为己任，致力于服务实体经济</w:t>
      </w:r>
      <w:r>
        <w:rPr>
          <w:rFonts w:ascii="仿宋" w:hAnsi="仿宋" w:eastAsia="仿宋"/>
          <w:sz w:val="30"/>
          <w:szCs w:val="30"/>
        </w:rPr>
        <w:t>、</w:t>
      </w:r>
      <w:r>
        <w:rPr>
          <w:rFonts w:hint="eastAsia" w:ascii="仿宋" w:hAnsi="仿宋" w:eastAsia="仿宋"/>
          <w:sz w:val="30"/>
          <w:szCs w:val="30"/>
        </w:rPr>
        <w:t>推动金融创新、社会进步和提升国际影响力。</w:t>
      </w:r>
    </w:p>
    <w:p>
      <w:pPr>
        <w:tabs>
          <w:tab w:val="left" w:pos="6585"/>
        </w:tabs>
        <w:rPr>
          <w:rFonts w:ascii="仿宋" w:hAnsi="仿宋" w:eastAsia="仿宋"/>
          <w:b/>
          <w:sz w:val="30"/>
          <w:szCs w:val="30"/>
        </w:rPr>
      </w:pPr>
      <w:r>
        <w:rPr>
          <w:rFonts w:hint="eastAsia" w:ascii="仿宋" w:hAnsi="仿宋" w:eastAsia="仿宋"/>
          <w:b/>
          <w:sz w:val="30"/>
          <w:szCs w:val="30"/>
        </w:rPr>
        <w:t>1.3． 公司对社会责任的认识与定位</w:t>
      </w:r>
    </w:p>
    <w:p>
      <w:pPr>
        <w:tabs>
          <w:tab w:val="left" w:pos="6585"/>
        </w:tabs>
        <w:rPr>
          <w:rFonts w:ascii="仿宋" w:hAnsi="仿宋" w:eastAsia="仿宋"/>
          <w:b/>
          <w:sz w:val="30"/>
          <w:szCs w:val="30"/>
        </w:rPr>
      </w:pPr>
      <w:r>
        <w:rPr>
          <w:rFonts w:hint="eastAsia" w:ascii="仿宋" w:hAnsi="仿宋" w:eastAsia="仿宋"/>
          <w:b/>
          <w:sz w:val="30"/>
          <w:szCs w:val="30"/>
        </w:rPr>
        <w:t>1.3.1．公司对社会责任的认识</w:t>
      </w:r>
    </w:p>
    <w:p>
      <w:pPr>
        <w:widowControl/>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对社会的责任：有效发挥中介职能，服务</w:t>
      </w:r>
      <w:r>
        <w:rPr>
          <w:rFonts w:ascii="仿宋" w:hAnsi="仿宋" w:eastAsia="仿宋" w:cs="Arial"/>
          <w:color w:val="000000"/>
          <w:sz w:val="30"/>
          <w:szCs w:val="30"/>
        </w:rPr>
        <w:t>国家供给侧改革，</w:t>
      </w:r>
      <w:r>
        <w:rPr>
          <w:rFonts w:hint="eastAsia" w:ascii="仿宋" w:hAnsi="仿宋" w:eastAsia="仿宋" w:cs="Arial"/>
          <w:color w:val="000000"/>
          <w:sz w:val="30"/>
          <w:szCs w:val="30"/>
        </w:rPr>
        <w:t>服务实体经济，促进社会经济发展。</w:t>
      </w:r>
    </w:p>
    <w:p>
      <w:pPr>
        <w:widowControl/>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对市场的责任：维护金融秩序，促进市场稳步扩大。</w:t>
      </w:r>
    </w:p>
    <w:p>
      <w:pPr>
        <w:widowControl/>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对股东的责任：在合理经营范围内，稳健、持续地实现价值最大化。</w:t>
      </w:r>
    </w:p>
    <w:p>
      <w:pPr>
        <w:widowControl/>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对客户的责任：保护投资者合法权益，持续深入做好投资者教育，将合适的产品提供给合适的投资者，提供全方位专业服务，实现客户与公司共同成长。</w:t>
      </w:r>
    </w:p>
    <w:p>
      <w:pPr>
        <w:widowControl/>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对员工的责任：提供开拓潜能的摇篮，搭建施展才华的平台。</w:t>
      </w:r>
    </w:p>
    <w:p>
      <w:pPr>
        <w:tabs>
          <w:tab w:val="left" w:pos="6585"/>
        </w:tabs>
        <w:rPr>
          <w:rFonts w:ascii="仿宋" w:hAnsi="仿宋" w:eastAsia="仿宋"/>
          <w:b/>
          <w:sz w:val="30"/>
          <w:szCs w:val="30"/>
        </w:rPr>
      </w:pPr>
      <w:r>
        <w:rPr>
          <w:rFonts w:hint="eastAsia" w:ascii="仿宋" w:hAnsi="仿宋" w:eastAsia="仿宋"/>
          <w:b/>
          <w:sz w:val="30"/>
          <w:szCs w:val="30"/>
        </w:rPr>
        <w:t>1.3.2．公司对社会责任的定位</w:t>
      </w:r>
    </w:p>
    <w:p>
      <w:pPr>
        <w:ind w:firstLine="600" w:firstLineChars="200"/>
        <w:rPr>
          <w:rFonts w:ascii="仿宋" w:hAnsi="仿宋" w:eastAsia="仿宋"/>
          <w:sz w:val="30"/>
          <w:szCs w:val="30"/>
        </w:rPr>
      </w:pPr>
      <w:r>
        <w:rPr>
          <w:rFonts w:hint="eastAsia" w:ascii="仿宋" w:hAnsi="仿宋" w:eastAsia="仿宋"/>
          <w:sz w:val="30"/>
          <w:szCs w:val="30"/>
        </w:rPr>
        <w:t>“积极开拓、务实勤勉、专业服务、追求卓越”是我公司的经营理念。</w:t>
      </w:r>
    </w:p>
    <w:p>
      <w:pPr>
        <w:ind w:firstLine="600" w:firstLineChars="200"/>
        <w:rPr>
          <w:rFonts w:ascii="仿宋" w:hAnsi="仿宋" w:eastAsia="仿宋"/>
          <w:sz w:val="30"/>
          <w:szCs w:val="30"/>
        </w:rPr>
      </w:pPr>
      <w:r>
        <w:rPr>
          <w:rFonts w:hint="eastAsia" w:ascii="仿宋" w:hAnsi="仿宋" w:eastAsia="仿宋"/>
          <w:sz w:val="30"/>
          <w:szCs w:val="30"/>
        </w:rPr>
        <w:t>“管理一流、人才一流、服务一流、效益一流”是我公司的管理目标。</w:t>
      </w:r>
    </w:p>
    <w:p>
      <w:pPr>
        <w:ind w:firstLine="600" w:firstLineChars="200"/>
        <w:rPr>
          <w:rFonts w:ascii="仿宋" w:hAnsi="仿宋" w:eastAsia="仿宋"/>
          <w:sz w:val="30"/>
          <w:szCs w:val="30"/>
        </w:rPr>
      </w:pPr>
      <w:r>
        <w:rPr>
          <w:rFonts w:hint="eastAsia" w:ascii="仿宋" w:hAnsi="仿宋" w:eastAsia="仿宋"/>
          <w:sz w:val="30"/>
          <w:szCs w:val="30"/>
        </w:rPr>
        <w:t>“以客户需求为先，力争让海通的客户成为最好的投资者”是我公司以客户为中心的服务理念。</w:t>
      </w:r>
    </w:p>
    <w:p>
      <w:pPr>
        <w:ind w:firstLine="600" w:firstLineChars="200"/>
        <w:rPr>
          <w:rFonts w:ascii="仿宋" w:hAnsi="仿宋" w:eastAsia="仿宋"/>
          <w:sz w:val="30"/>
          <w:szCs w:val="30"/>
        </w:rPr>
      </w:pPr>
      <w:r>
        <w:rPr>
          <w:rFonts w:hint="eastAsia" w:ascii="仿宋" w:hAnsi="仿宋" w:eastAsia="仿宋"/>
          <w:sz w:val="30"/>
          <w:szCs w:val="30"/>
        </w:rPr>
        <w:t>“海纳百川聚才、通达四海成事”是我公司实现经营、人才战略的核心。</w:t>
      </w:r>
    </w:p>
    <w:p>
      <w:pPr>
        <w:ind w:firstLine="600" w:firstLineChars="200"/>
        <w:rPr>
          <w:rFonts w:ascii="仿宋" w:hAnsi="仿宋" w:eastAsia="仿宋"/>
          <w:sz w:val="30"/>
          <w:szCs w:val="30"/>
        </w:rPr>
      </w:pPr>
      <w:r>
        <w:rPr>
          <w:rFonts w:hint="eastAsia" w:ascii="仿宋" w:hAnsi="仿宋" w:eastAsia="仿宋"/>
          <w:sz w:val="30"/>
          <w:szCs w:val="30"/>
        </w:rPr>
        <w:t>“践行责任、承担义务、投入激情、奉献爱心”是我公司回报社会的承诺。</w:t>
      </w:r>
    </w:p>
    <w:p>
      <w:pPr>
        <w:rPr>
          <w:rFonts w:ascii="仿宋" w:hAnsi="仿宋" w:eastAsia="仿宋"/>
          <w:color w:val="FF0000"/>
          <w:sz w:val="30"/>
          <w:szCs w:val="30"/>
        </w:rPr>
      </w:pPr>
      <w:r>
        <w:rPr>
          <w:rFonts w:hint="eastAsia" w:ascii="仿宋" w:hAnsi="仿宋" w:eastAsia="仿宋"/>
          <w:b/>
          <w:sz w:val="30"/>
          <w:szCs w:val="30"/>
        </w:rPr>
        <w:t>1.4．总经理致辞</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2019年，面对新形势、新挑战，公司在集团公司党委、经营班子的大力支持下，在董事会的正确领导下，全体海通期货人坚定信心、齐心协力，牢牢坚持服务实体经济高质量发展的根本目标，守住合规与风险管理底线，稳步推进公司既定发展战略的实施，公司实现了平稳健康发展，市场份额、保证金规模、客户规模等主要指标位居行业前列，分类评级保持AA级。公司交易金额、市场份额排名继续靠前；期末权益和日均权益均呈现增长态势，权益排名位居行业前列；客户保证金收益率处于行业前列；资管业务规模增长迅速，峰值超过百亿，位居行业前列；协同及IB业务发展较好，为公司带来良好增收；国际业务稳步推进；人才、研发、风控、IT四根支柱建设进一步得到强化。此外，公司积极参与精准扶贫，持续开展各项投资者教育工作，履行社会责任，获得多个重要奖项。成绩的取得来之不易，凝聚着公司全体员工的辛勤与付出，这再次证明，任何艰难险阻都挡不住公司发展前行的步伐。</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展望2020年，在复杂多变的发展环境中，期货市场面临着更多的机遇和挑战。道路不总是平坦的，只有保持定力做好自己的事情，增强忧患意识，在埋头苦干中增长实力，在改革创新中挖掘潜能，在积极进取中开拓新路，扎实修炼内功，提升发展质量，才能抓得住机遇、经得起挑战。让我们满怀信心和期待，坚持不忘初心、牢记使命，继续抓住我国期货市场发展的重要机遇，立足集团及自身优势，坚定不移地打造“期货经纪业务为主休、风险管理和资产管理为两翼”的业务架构，构建“期货与现货、场内与场外、国内与国际、线上也线下”一体化发展格局，强化全面风险管理、投研结合、集团联动、资金管理、IT与人才保障，稳定实现成为国内一流的金融衍生品综合服务商的发展目标。</w:t>
      </w:r>
    </w:p>
    <w:p>
      <w:pPr>
        <w:spacing w:line="360" w:lineRule="auto"/>
        <w:ind w:firstLine="600" w:firstLineChars="200"/>
        <w:jc w:val="right"/>
        <w:rPr>
          <w:rFonts w:ascii="仿宋" w:hAnsi="仿宋" w:eastAsia="仿宋"/>
          <w:sz w:val="30"/>
          <w:szCs w:val="30"/>
        </w:rPr>
      </w:pPr>
      <w:r>
        <w:rPr>
          <w:rFonts w:hint="eastAsia" w:ascii="仿宋" w:hAnsi="仿宋" w:eastAsia="仿宋"/>
          <w:sz w:val="30"/>
          <w:szCs w:val="30"/>
        </w:rPr>
        <w:t>海通期货股份有限公司</w:t>
      </w:r>
    </w:p>
    <w:p>
      <w:pPr>
        <w:spacing w:line="360" w:lineRule="auto"/>
        <w:ind w:firstLine="600" w:firstLineChars="200"/>
        <w:jc w:val="right"/>
        <w:rPr>
          <w:rFonts w:ascii="仿宋" w:hAnsi="仿宋" w:eastAsia="仿宋"/>
          <w:sz w:val="30"/>
          <w:szCs w:val="30"/>
        </w:rPr>
      </w:pPr>
      <w:r>
        <w:rPr>
          <w:rFonts w:hint="eastAsia" w:ascii="仿宋" w:hAnsi="仿宋" w:eastAsia="仿宋"/>
          <w:sz w:val="30"/>
          <w:szCs w:val="30"/>
        </w:rPr>
        <w:t>党委书记</w:t>
      </w:r>
      <w:r>
        <w:rPr>
          <w:rFonts w:ascii="仿宋" w:hAnsi="仿宋" w:eastAsia="仿宋"/>
          <w:sz w:val="30"/>
          <w:szCs w:val="30"/>
        </w:rPr>
        <w:t>、</w:t>
      </w:r>
      <w:r>
        <w:rPr>
          <w:rFonts w:hint="eastAsia" w:ascii="仿宋" w:hAnsi="仿宋" w:eastAsia="仿宋"/>
          <w:sz w:val="30"/>
          <w:szCs w:val="30"/>
        </w:rPr>
        <w:t>总经理 吴红松</w:t>
      </w:r>
    </w:p>
    <w:p>
      <w:pPr>
        <w:spacing w:line="360" w:lineRule="auto"/>
        <w:ind w:firstLine="600" w:firstLineChars="200"/>
        <w:rPr>
          <w:rFonts w:ascii="仿宋" w:hAnsi="仿宋" w:eastAsia="仿宋"/>
          <w:sz w:val="30"/>
          <w:szCs w:val="30"/>
        </w:rPr>
      </w:pPr>
    </w:p>
    <w:p>
      <w:pPr>
        <w:rPr>
          <w:rFonts w:ascii="仿宋" w:hAnsi="仿宋" w:eastAsia="仿宋"/>
          <w:b/>
          <w:sz w:val="30"/>
          <w:szCs w:val="30"/>
        </w:rPr>
      </w:pPr>
      <w:r>
        <w:rPr>
          <w:rFonts w:hint="eastAsia" w:ascii="仿宋" w:hAnsi="仿宋" w:eastAsia="仿宋"/>
          <w:b/>
          <w:sz w:val="30"/>
          <w:szCs w:val="30"/>
        </w:rPr>
        <w:t>2.公司概况</w:t>
      </w:r>
    </w:p>
    <w:p>
      <w:pPr>
        <w:rPr>
          <w:rFonts w:ascii="仿宋" w:hAnsi="仿宋" w:eastAsia="仿宋"/>
          <w:b/>
          <w:sz w:val="30"/>
          <w:szCs w:val="30"/>
        </w:rPr>
      </w:pPr>
      <w:r>
        <w:rPr>
          <w:rFonts w:hint="eastAsia" w:ascii="仿宋" w:hAnsi="仿宋" w:eastAsia="仿宋"/>
          <w:b/>
          <w:sz w:val="30"/>
          <w:szCs w:val="30"/>
        </w:rPr>
        <w:t>2.1.公司概况</w:t>
      </w:r>
    </w:p>
    <w:p>
      <w:pPr>
        <w:ind w:firstLine="600" w:firstLineChars="200"/>
        <w:rPr>
          <w:rFonts w:ascii="仿宋" w:hAnsi="仿宋" w:eastAsia="仿宋"/>
          <w:sz w:val="30"/>
          <w:szCs w:val="30"/>
        </w:rPr>
      </w:pPr>
      <w:r>
        <w:rPr>
          <w:rFonts w:hint="eastAsia" w:ascii="仿宋" w:hAnsi="仿宋" w:eastAsia="仿宋"/>
          <w:sz w:val="30"/>
          <w:szCs w:val="30"/>
        </w:rPr>
        <w:t>海通期货股份有限公司（新三板</w:t>
      </w:r>
      <w:r>
        <w:rPr>
          <w:rFonts w:ascii="仿宋" w:hAnsi="仿宋" w:eastAsia="仿宋"/>
          <w:sz w:val="30"/>
          <w:szCs w:val="30"/>
        </w:rPr>
        <w:t>挂牌</w:t>
      </w:r>
      <w:r>
        <w:rPr>
          <w:rFonts w:hint="eastAsia" w:ascii="仿宋" w:hAnsi="仿宋" w:eastAsia="仿宋"/>
          <w:sz w:val="30"/>
          <w:szCs w:val="30"/>
        </w:rPr>
        <w:t>公众</w:t>
      </w:r>
      <w:r>
        <w:rPr>
          <w:rFonts w:ascii="仿宋" w:hAnsi="仿宋" w:eastAsia="仿宋"/>
          <w:sz w:val="30"/>
          <w:szCs w:val="30"/>
        </w:rPr>
        <w:t>公司，股票代码</w:t>
      </w:r>
      <w:r>
        <w:rPr>
          <w:rFonts w:hint="eastAsia" w:ascii="仿宋" w:hAnsi="仿宋" w:eastAsia="仿宋"/>
          <w:sz w:val="30"/>
          <w:szCs w:val="30"/>
        </w:rPr>
        <w:t>872595）是海通证券控股的专业期货公司，是上海期货交易所、大连商品交易所、郑州商品交易所、上海国际能源交易中心会员，中国金融期货交易所全面结算会员。公司注册资本为人民币13.015亿元，首批获得期货投资咨询业务资格、资产管理业务资格、基金销售业务资格和股票期权交易参与人资格，并获准进入银行间债券市场。在业内首批设立了风险管理子公司，并设立香港子公司进军国际金融市场。</w:t>
      </w:r>
    </w:p>
    <w:p>
      <w:pPr>
        <w:ind w:firstLine="600" w:firstLineChars="200"/>
        <w:rPr>
          <w:rFonts w:ascii="仿宋" w:hAnsi="仿宋" w:eastAsia="仿宋"/>
          <w:sz w:val="30"/>
          <w:szCs w:val="30"/>
        </w:rPr>
      </w:pPr>
      <w:r>
        <w:rPr>
          <w:rFonts w:hint="eastAsia" w:ascii="仿宋" w:hAnsi="仿宋" w:eastAsia="仿宋"/>
          <w:sz w:val="30"/>
          <w:szCs w:val="30"/>
        </w:rPr>
        <w:t>公司长期以来深入贯彻落实中国证监会“期货市场服务产业经济和国民经济”的精神，着力打造人才集聚平台、技术领先平台、业务创新平台和科学管理平台。经过十余年发展，公司发生翻天覆地的变化：集聚了一批卓越的人才团队，员工总数707人，其中硕士以上</w:t>
      </w:r>
      <w:r>
        <w:rPr>
          <w:rFonts w:hint="eastAsia" w:ascii="仿宋" w:hAnsi="仿宋" w:eastAsia="仿宋"/>
          <w:sz w:val="30"/>
          <w:szCs w:val="30"/>
          <w:lang w:eastAsia="zh-CN"/>
        </w:rPr>
        <w:t>学历</w:t>
      </w:r>
      <w:r>
        <w:rPr>
          <w:rFonts w:hint="eastAsia" w:ascii="仿宋" w:hAnsi="仿宋" w:eastAsia="仿宋"/>
          <w:sz w:val="30"/>
          <w:szCs w:val="30"/>
        </w:rPr>
        <w:t>员工占比</w:t>
      </w:r>
      <w:r>
        <w:rPr>
          <w:rFonts w:hint="eastAsia" w:ascii="仿宋" w:hAnsi="仿宋" w:eastAsia="仿宋"/>
          <w:sz w:val="30"/>
          <w:szCs w:val="30"/>
          <w:lang w:eastAsia="zh-CN"/>
        </w:rPr>
        <w:t>逾</w:t>
      </w:r>
      <w:r>
        <w:rPr>
          <w:rFonts w:hint="eastAsia" w:ascii="仿宋" w:hAnsi="仿宋" w:eastAsia="仿宋"/>
          <w:sz w:val="30"/>
          <w:szCs w:val="30"/>
        </w:rPr>
        <w:t>24%；每年投入数千万元打造IT平台，达到三类信息技术标准，在大型期货公司中首家上线CTP系统，推出了自主研发的高速行情系统，构建了业内首个双中心双活交易集群系统，致力于打造永不中断的核心交易体系；在全国主要城市设立45家分支机构；自2010年起，公司客户规模稳居行业前五，金融期货和众多主要商品期货品种的市场份额位居行业前列。公司在业内首家通过ISO9001：2015质量管理体系认证。</w:t>
      </w:r>
    </w:p>
    <w:p>
      <w:pPr>
        <w:ind w:firstLine="600" w:firstLineChars="200"/>
        <w:rPr>
          <w:rFonts w:ascii="仿宋" w:hAnsi="仿宋" w:eastAsia="仿宋"/>
          <w:sz w:val="30"/>
          <w:szCs w:val="30"/>
        </w:rPr>
      </w:pPr>
      <w:r>
        <w:rPr>
          <w:rFonts w:hint="eastAsia" w:ascii="仿宋" w:hAnsi="仿宋" w:eastAsia="仿宋"/>
          <w:sz w:val="30"/>
          <w:szCs w:val="30"/>
        </w:rPr>
        <w:t>海通期货健康快速的发展和良好的企业形象受到监管部门和社会各界的充分肯定，获得了多项荣誉。公司是中国期货业协会理事单位、上海期货同业公会副会长单位、郑州商品交易所交易委员会委员</w:t>
      </w:r>
      <w:r>
        <w:rPr>
          <w:rFonts w:ascii="仿宋" w:hAnsi="仿宋" w:eastAsia="仿宋"/>
          <w:sz w:val="30"/>
          <w:szCs w:val="30"/>
        </w:rPr>
        <w:t>单位</w:t>
      </w:r>
      <w:r>
        <w:rPr>
          <w:rFonts w:hint="eastAsia" w:ascii="仿宋" w:hAnsi="仿宋" w:eastAsia="仿宋"/>
          <w:sz w:val="30"/>
          <w:szCs w:val="30"/>
        </w:rPr>
        <w:t>、大连商品交易所会员资格审查委员会主任委员单位。2019年，公司获得包括“2019年度最佳期货公司”、“中国期货公司金牌管理团队”等70余项奖项；获得2018-2019年浦东新区慈善公益奖，并获推参评“中华慈善奖”。</w:t>
      </w:r>
    </w:p>
    <w:p>
      <w:pPr>
        <w:ind w:firstLine="600" w:firstLineChars="200"/>
        <w:rPr>
          <w:rFonts w:ascii="仿宋" w:hAnsi="仿宋" w:eastAsia="仿宋"/>
          <w:sz w:val="30"/>
          <w:szCs w:val="30"/>
        </w:rPr>
      </w:pPr>
      <w:r>
        <w:rPr>
          <w:rFonts w:hint="eastAsia" w:ascii="仿宋" w:hAnsi="仿宋" w:eastAsia="仿宋"/>
          <w:sz w:val="30"/>
          <w:szCs w:val="30"/>
        </w:rPr>
        <w:t>展望未来，海通期货将适应实体经济风险管理、资本市场财富管理发展需求，打造“期货经纪业务为主体、风险管理和资产管理为两翼’的业务架构，构建‘期货与现货、场内与场外、国内与国际、线上与线下”一体化发展格局，强化全面风险管理、投研结合、集团联动、资金管理、IT与人才保障，成为国内一流的金融衍生品综合服务商。</w:t>
      </w:r>
    </w:p>
    <w:p>
      <w:pPr>
        <w:rPr>
          <w:rFonts w:ascii="仿宋" w:hAnsi="仿宋" w:eastAsia="仿宋"/>
          <w:b/>
          <w:sz w:val="30"/>
          <w:szCs w:val="30"/>
        </w:rPr>
      </w:pPr>
      <w:r>
        <w:rPr>
          <w:rFonts w:hint="eastAsia" w:ascii="仿宋" w:hAnsi="仿宋" w:eastAsia="仿宋"/>
          <w:b/>
          <w:sz w:val="30"/>
          <w:szCs w:val="30"/>
        </w:rPr>
        <w:t>2.2.公司大事记</w:t>
      </w:r>
    </w:p>
    <w:p>
      <w:pPr>
        <w:ind w:firstLine="600" w:firstLineChars="200"/>
        <w:rPr>
          <w:rFonts w:ascii="仿宋" w:hAnsi="仿宋" w:eastAsia="仿宋"/>
          <w:sz w:val="30"/>
          <w:szCs w:val="30"/>
        </w:rPr>
      </w:pPr>
      <w:r>
        <w:rPr>
          <w:rFonts w:hint="eastAsia" w:ascii="仿宋" w:hAnsi="仿宋" w:eastAsia="仿宋"/>
          <w:sz w:val="30"/>
          <w:szCs w:val="30"/>
        </w:rPr>
        <w:t>公司2019年</w:t>
      </w:r>
      <w:r>
        <w:rPr>
          <w:rFonts w:ascii="仿宋" w:hAnsi="仿宋" w:eastAsia="仿宋"/>
          <w:sz w:val="30"/>
          <w:szCs w:val="30"/>
        </w:rPr>
        <w:t>大事</w:t>
      </w:r>
      <w:r>
        <w:rPr>
          <w:rFonts w:hint="eastAsia" w:ascii="仿宋" w:hAnsi="仿宋" w:eastAsia="仿宋"/>
          <w:sz w:val="30"/>
          <w:szCs w:val="30"/>
        </w:rPr>
        <w:t>:</w:t>
      </w:r>
    </w:p>
    <w:p>
      <w:pPr>
        <w:numPr>
          <w:ilvl w:val="255"/>
          <w:numId w:val="0"/>
        </w:numPr>
        <w:ind w:firstLine="600" w:firstLineChars="200"/>
        <w:rPr>
          <w:rFonts w:ascii="仿宋" w:hAnsi="仿宋" w:eastAsia="仿宋"/>
          <w:sz w:val="30"/>
          <w:szCs w:val="30"/>
        </w:rPr>
      </w:pPr>
      <w:r>
        <w:rPr>
          <w:rFonts w:hint="eastAsia" w:ascii="仿宋" w:hAnsi="仿宋" w:eastAsia="仿宋"/>
          <w:sz w:val="30"/>
          <w:szCs w:val="30"/>
        </w:rPr>
        <w:t>1、海通期货2019年实现营业收入75.19亿元，同比增长19%。</w:t>
      </w:r>
    </w:p>
    <w:p>
      <w:pPr>
        <w:ind w:firstLine="600" w:firstLineChars="200"/>
        <w:rPr>
          <w:rFonts w:ascii="仿宋" w:hAnsi="仿宋" w:eastAsia="仿宋"/>
          <w:sz w:val="30"/>
          <w:szCs w:val="30"/>
        </w:rPr>
      </w:pPr>
      <w:r>
        <w:rPr>
          <w:rFonts w:hint="eastAsia" w:ascii="仿宋" w:hAnsi="仿宋" w:eastAsia="仿宋"/>
          <w:sz w:val="30"/>
          <w:szCs w:val="30"/>
        </w:rPr>
        <w:t>2、获批上海证券交易所股票期权做市资格。</w:t>
      </w:r>
    </w:p>
    <w:p>
      <w:pPr>
        <w:ind w:firstLine="600" w:firstLineChars="200"/>
        <w:rPr>
          <w:rFonts w:ascii="仿宋" w:hAnsi="仿宋" w:eastAsia="仿宋"/>
          <w:sz w:val="30"/>
          <w:szCs w:val="30"/>
        </w:rPr>
      </w:pPr>
      <w:r>
        <w:rPr>
          <w:rFonts w:hint="eastAsia" w:ascii="仿宋" w:hAnsi="仿宋" w:eastAsia="仿宋"/>
          <w:sz w:val="30"/>
          <w:szCs w:val="30"/>
        </w:rPr>
        <w:t>3、海通期货荣获专业媒体2019年度最佳期货公司、中国期货公司金牌管理团队、年度期货业品牌奖、年度期货业扶贫奖等多项荣誉称号；同时入选年度金融企业品牌百强榜单。</w:t>
      </w:r>
    </w:p>
    <w:p>
      <w:pPr>
        <w:ind w:firstLine="600" w:firstLineChars="200"/>
        <w:rPr>
          <w:rFonts w:ascii="仿宋" w:hAnsi="仿宋" w:eastAsia="仿宋"/>
          <w:sz w:val="30"/>
          <w:szCs w:val="30"/>
        </w:rPr>
      </w:pPr>
      <w:r>
        <w:rPr>
          <w:rFonts w:hint="eastAsia" w:ascii="仿宋" w:hAnsi="仿宋" w:eastAsia="仿宋"/>
          <w:sz w:val="30"/>
          <w:szCs w:val="30"/>
        </w:rPr>
        <w:t>4、海通期货荣获上期所2019年年度优秀会员金奖等13项奖项，大商所2019年年度优秀会员金奖等9项奖项，郑商所2019年年度优秀会员等19项奖项，中金所年度综合奖白金奖等5项奖项。</w:t>
      </w:r>
    </w:p>
    <w:p>
      <w:pPr>
        <w:ind w:firstLine="600" w:firstLineChars="200"/>
        <w:rPr>
          <w:rFonts w:ascii="仿宋" w:hAnsi="仿宋" w:eastAsia="仿宋"/>
          <w:sz w:val="30"/>
          <w:szCs w:val="30"/>
        </w:rPr>
      </w:pPr>
      <w:r>
        <w:rPr>
          <w:rFonts w:hint="eastAsia" w:ascii="仿宋" w:hAnsi="仿宋" w:eastAsia="仿宋"/>
          <w:sz w:val="30"/>
          <w:szCs w:val="30"/>
        </w:rPr>
        <w:t>5、海通期货践行社会责任，积极参加社会公益活动，荣获2018-2019年度浦东新区慈善公益奖。</w:t>
      </w:r>
    </w:p>
    <w:p>
      <w:pPr>
        <w:rPr>
          <w:rFonts w:ascii="仿宋" w:hAnsi="仿宋" w:eastAsia="仿宋"/>
          <w:b/>
          <w:sz w:val="30"/>
          <w:szCs w:val="30"/>
        </w:rPr>
      </w:pPr>
      <w:r>
        <w:rPr>
          <w:rFonts w:hint="eastAsia" w:ascii="仿宋" w:hAnsi="仿宋" w:eastAsia="仿宋"/>
          <w:b/>
          <w:sz w:val="30"/>
          <w:szCs w:val="30"/>
        </w:rPr>
        <w:t>2.3. 公司利益相关者关系</w:t>
      </w:r>
    </w:p>
    <w:p>
      <w:pPr>
        <w:rPr>
          <w:rFonts w:ascii="仿宋" w:hAnsi="仿宋" w:eastAsia="仿宋"/>
          <w:b/>
          <w:sz w:val="30"/>
          <w:szCs w:val="30"/>
        </w:rPr>
      </w:pPr>
      <w:r>
        <w:rPr>
          <w:rFonts w:hint="eastAsia" w:ascii="仿宋" w:hAnsi="仿宋" w:eastAsia="仿宋"/>
          <w:b/>
          <w:sz w:val="30"/>
          <w:szCs w:val="30"/>
        </w:rPr>
        <w:t>2.</w:t>
      </w:r>
      <w:r>
        <w:rPr>
          <w:rFonts w:ascii="仿宋" w:hAnsi="仿宋" w:eastAsia="仿宋"/>
          <w:b/>
          <w:sz w:val="30"/>
          <w:szCs w:val="30"/>
        </w:rPr>
        <w:t>3</w:t>
      </w:r>
      <w:r>
        <w:rPr>
          <w:rFonts w:hint="eastAsia" w:ascii="仿宋" w:hAnsi="仿宋" w:eastAsia="仿宋"/>
          <w:b/>
          <w:sz w:val="30"/>
          <w:szCs w:val="30"/>
        </w:rPr>
        <w:t>.1.股东</w:t>
      </w:r>
    </w:p>
    <w:p>
      <w:pPr>
        <w:ind w:firstLine="600" w:firstLineChars="200"/>
        <w:rPr>
          <w:rFonts w:ascii="仿宋" w:hAnsi="仿宋" w:eastAsia="仿宋"/>
          <w:sz w:val="30"/>
          <w:szCs w:val="30"/>
        </w:rPr>
      </w:pPr>
      <w:r>
        <w:rPr>
          <w:rFonts w:hint="eastAsia" w:ascii="仿宋" w:hAnsi="仿宋" w:eastAsia="仿宋"/>
          <w:sz w:val="30"/>
          <w:szCs w:val="30"/>
        </w:rPr>
        <w:t>海通证券股份有限公司是海通期货的控股母公司，也是重要的业务合作伙伴，根据监管政策，海通期货为海通证券提供IB业务支持，同时，海通期货贯彻执行母公司的经营理念，学习实践其管理经验，承继其企业文化，现在和未来的发展均受益于母公司的品牌效应。</w:t>
      </w:r>
    </w:p>
    <w:p>
      <w:pPr>
        <w:rPr>
          <w:rFonts w:ascii="仿宋" w:hAnsi="仿宋" w:eastAsia="仿宋"/>
          <w:b/>
          <w:sz w:val="30"/>
          <w:szCs w:val="30"/>
        </w:rPr>
      </w:pPr>
      <w:r>
        <w:rPr>
          <w:rFonts w:hint="eastAsia" w:ascii="仿宋" w:hAnsi="仿宋" w:eastAsia="仿宋"/>
          <w:b/>
          <w:sz w:val="30"/>
          <w:szCs w:val="30"/>
        </w:rPr>
        <w:t>2.</w:t>
      </w:r>
      <w:r>
        <w:rPr>
          <w:rFonts w:ascii="仿宋" w:hAnsi="仿宋" w:eastAsia="仿宋"/>
          <w:b/>
          <w:sz w:val="30"/>
          <w:szCs w:val="30"/>
        </w:rPr>
        <w:t>3</w:t>
      </w:r>
      <w:r>
        <w:rPr>
          <w:rFonts w:hint="eastAsia" w:ascii="仿宋" w:hAnsi="仿宋" w:eastAsia="仿宋"/>
          <w:b/>
          <w:sz w:val="30"/>
          <w:szCs w:val="30"/>
        </w:rPr>
        <w:t>.2.员工</w:t>
      </w:r>
    </w:p>
    <w:p>
      <w:pPr>
        <w:pStyle w:val="15"/>
        <w:spacing w:line="240" w:lineRule="auto"/>
        <w:ind w:firstLine="600"/>
        <w:rPr>
          <w:rFonts w:ascii="仿宋" w:hAnsi="仿宋" w:eastAsia="仿宋"/>
          <w:sz w:val="30"/>
          <w:szCs w:val="30"/>
        </w:rPr>
      </w:pPr>
      <w:r>
        <w:rPr>
          <w:rFonts w:hint="eastAsia" w:ascii="仿宋" w:hAnsi="仿宋" w:eastAsia="仿宋"/>
          <w:sz w:val="30"/>
          <w:szCs w:val="30"/>
        </w:rPr>
        <w:t>公司严格遵守《劳动法》，依法保护员工的合法权益，建立和完善包括薪酬体系、激励机制等在内的用人制度，保障员工依法享有劳动权利和履行劳动义务。公司实施梯度职业培训制度，按照国家规定提取和使用职业培训经费，积极开展各类员工培训。员工的福利保障机制较为完善，有安全的工作场所。公司遵循按劳分配、同工同酬的原则，未克扣或者无故拖欠劳动者的工资，未采取纯劳务性质的合约安排或变相试用等形式，降低对员工的工资支付和社会保障。公司不干涉员工信仰自由，不因民族、种族、国籍、宗教信仰、性别、年龄等对员工在聘用、报酬、培训机会、升迁、解职或退休等方面采取歧视行为。</w:t>
      </w:r>
    </w:p>
    <w:p>
      <w:pPr>
        <w:pStyle w:val="15"/>
        <w:ind w:firstLine="600"/>
        <w:rPr>
          <w:rFonts w:ascii="仿宋" w:hAnsi="仿宋" w:eastAsia="仿宋"/>
          <w:sz w:val="30"/>
          <w:szCs w:val="30"/>
        </w:rPr>
      </w:pPr>
      <w:r>
        <w:rPr>
          <w:rFonts w:hint="eastAsia" w:ascii="仿宋" w:hAnsi="仿宋" w:eastAsia="仿宋"/>
          <w:sz w:val="30"/>
          <w:szCs w:val="30"/>
        </w:rPr>
        <w:t>公司员工爱岗敬业,工作有热情、有激情，对公司文化的认同感与归属感强烈。员工队伍稳定，积极进取，推动公司各项事业稳步发展。</w:t>
      </w:r>
    </w:p>
    <w:p>
      <w:pPr>
        <w:rPr>
          <w:rFonts w:ascii="仿宋" w:hAnsi="仿宋" w:eastAsia="仿宋"/>
          <w:b/>
          <w:sz w:val="30"/>
          <w:szCs w:val="30"/>
        </w:rPr>
      </w:pPr>
      <w:r>
        <w:rPr>
          <w:rFonts w:hint="eastAsia" w:ascii="仿宋" w:hAnsi="仿宋" w:eastAsia="仿宋"/>
          <w:b/>
          <w:sz w:val="30"/>
          <w:szCs w:val="30"/>
        </w:rPr>
        <w:t>2.</w:t>
      </w:r>
      <w:r>
        <w:rPr>
          <w:rFonts w:ascii="仿宋" w:hAnsi="仿宋" w:eastAsia="仿宋"/>
          <w:b/>
          <w:sz w:val="30"/>
          <w:szCs w:val="30"/>
        </w:rPr>
        <w:t>3</w:t>
      </w:r>
      <w:r>
        <w:rPr>
          <w:rFonts w:hint="eastAsia" w:ascii="仿宋" w:hAnsi="仿宋" w:eastAsia="仿宋"/>
          <w:b/>
          <w:sz w:val="30"/>
          <w:szCs w:val="30"/>
        </w:rPr>
        <w:t>.3.投资者关系</w:t>
      </w:r>
    </w:p>
    <w:p>
      <w:pPr>
        <w:ind w:firstLine="600" w:firstLineChars="200"/>
        <w:rPr>
          <w:rFonts w:ascii="仿宋" w:hAnsi="仿宋" w:eastAsia="仿宋"/>
          <w:sz w:val="30"/>
          <w:szCs w:val="30"/>
        </w:rPr>
      </w:pPr>
      <w:r>
        <w:rPr>
          <w:rFonts w:hint="eastAsia" w:ascii="仿宋" w:hAnsi="仿宋" w:eastAsia="仿宋"/>
          <w:sz w:val="30"/>
          <w:szCs w:val="30"/>
        </w:rPr>
        <w:t>公司建立了完善的投资者关系管理机制。公司董事长是投资者关系管理事务的第一负责人，公司董事会是投资者关系管理的决策机构，负责制定投资者关系管理的制度，并负责检查核查投资者关系管理事务的落实、运行情况。公司董事会秘书具体负责公司投资者关系管理事务，在全面深入了解公司运作和管理、经营状况、发展战略等情况下，负责策划、安排和组织各类投资者关系管理活动和日常事务。</w:t>
      </w:r>
    </w:p>
    <w:p>
      <w:pPr>
        <w:ind w:firstLine="600" w:firstLineChars="200"/>
        <w:rPr>
          <w:rFonts w:ascii="仿宋" w:hAnsi="仿宋" w:eastAsia="仿宋"/>
          <w:sz w:val="30"/>
          <w:szCs w:val="30"/>
        </w:rPr>
      </w:pPr>
      <w:r>
        <w:rPr>
          <w:rFonts w:hint="eastAsia" w:ascii="仿宋" w:hAnsi="仿宋" w:eastAsia="仿宋"/>
          <w:sz w:val="30"/>
          <w:szCs w:val="30"/>
        </w:rPr>
        <w:t>公司开展投资者关系管理工作坚持公平、公正、公开原则，平等对待全体投资者，保障所有投资者享有知情权及其他合法权益。</w:t>
      </w:r>
    </w:p>
    <w:p>
      <w:pPr>
        <w:ind w:firstLine="600" w:firstLineChars="200"/>
        <w:rPr>
          <w:rFonts w:ascii="仿宋" w:hAnsi="仿宋" w:eastAsia="仿宋"/>
          <w:sz w:val="30"/>
          <w:szCs w:val="30"/>
        </w:rPr>
      </w:pPr>
      <w:r>
        <w:rPr>
          <w:rFonts w:hint="eastAsia" w:ascii="仿宋" w:hAnsi="仿宋" w:eastAsia="仿宋"/>
          <w:sz w:val="30"/>
          <w:szCs w:val="30"/>
        </w:rPr>
        <w:t>公司与投资者特别是广大中小社会投资者之间建立了良好沟通平台，完善公司治理结构，切实保护投资者特别是广大社会公众投资者的合法权益，形成公司与投资者之间长期、稳定、和谐的良性互动关系。</w:t>
      </w:r>
    </w:p>
    <w:p>
      <w:pPr>
        <w:rPr>
          <w:rFonts w:ascii="仿宋" w:hAnsi="仿宋" w:eastAsia="仿宋"/>
          <w:b/>
          <w:sz w:val="30"/>
          <w:szCs w:val="30"/>
        </w:rPr>
      </w:pPr>
      <w:r>
        <w:rPr>
          <w:rFonts w:hint="eastAsia" w:ascii="仿宋" w:hAnsi="仿宋" w:eastAsia="仿宋"/>
          <w:b/>
          <w:sz w:val="30"/>
          <w:szCs w:val="30"/>
        </w:rPr>
        <w:t>2.4.本报告内容的范围和概况</w:t>
      </w:r>
    </w:p>
    <w:p>
      <w:pPr>
        <w:ind w:firstLine="600"/>
        <w:rPr>
          <w:rFonts w:ascii="仿宋_GB2312" w:hAnsi="仿宋" w:eastAsia="仿宋_GB2312" w:cs="Meiryo"/>
          <w:bCs/>
          <w:sz w:val="30"/>
          <w:szCs w:val="30"/>
        </w:rPr>
      </w:pPr>
      <w:r>
        <w:rPr>
          <w:rFonts w:hint="eastAsia" w:ascii="仿宋" w:hAnsi="仿宋" w:eastAsia="仿宋"/>
          <w:sz w:val="30"/>
          <w:szCs w:val="30"/>
        </w:rPr>
        <w:t>本报告以社会及环境责任为主轴，按照公司的内部管理与发展及社会责任的贯彻落实情况，将报告定为公司愿景与社会责任定位、公司概况、公司治理结构与管理体制、经济责任与业绩、社会责任与业绩、环境责任与业绩、附录共七部分。</w:t>
      </w:r>
    </w:p>
    <w:p>
      <w:pPr>
        <w:rPr>
          <w:rFonts w:ascii="仿宋" w:hAnsi="仿宋" w:eastAsia="仿宋"/>
          <w:b/>
          <w:sz w:val="30"/>
          <w:szCs w:val="30"/>
        </w:rPr>
      </w:pPr>
      <w:r>
        <w:rPr>
          <w:rFonts w:hint="eastAsia" w:ascii="仿宋" w:hAnsi="仿宋" w:eastAsia="仿宋"/>
          <w:b/>
          <w:sz w:val="30"/>
          <w:szCs w:val="30"/>
        </w:rPr>
        <w:t>3. 公司治理结构与管理体制</w:t>
      </w:r>
    </w:p>
    <w:p>
      <w:pPr>
        <w:rPr>
          <w:rFonts w:ascii="仿宋" w:hAnsi="仿宋" w:eastAsia="仿宋"/>
          <w:b/>
          <w:sz w:val="30"/>
          <w:szCs w:val="30"/>
        </w:rPr>
      </w:pPr>
      <w:r>
        <w:rPr>
          <w:rFonts w:hint="eastAsia" w:ascii="仿宋" w:hAnsi="仿宋" w:eastAsia="仿宋"/>
          <w:b/>
          <w:sz w:val="30"/>
          <w:szCs w:val="30"/>
        </w:rPr>
        <w:t>3.1. 股东责权</w:t>
      </w:r>
    </w:p>
    <w:p>
      <w:pPr>
        <w:ind w:firstLine="600"/>
        <w:rPr>
          <w:rFonts w:ascii="仿宋" w:hAnsi="仿宋" w:eastAsia="仿宋"/>
          <w:sz w:val="30"/>
          <w:szCs w:val="30"/>
        </w:rPr>
      </w:pPr>
      <w:r>
        <w:rPr>
          <w:rFonts w:hint="eastAsia" w:ascii="仿宋" w:hAnsi="仿宋" w:eastAsia="仿宋"/>
          <w:sz w:val="30"/>
          <w:szCs w:val="30"/>
        </w:rPr>
        <w:t>海通期货股份有限公司的法人治理持续符合《公司法》、《期货公司监督管理办法》的规定，以及中国证监会提出的合规要求，并有效运行。</w:t>
      </w:r>
    </w:p>
    <w:p>
      <w:pPr>
        <w:ind w:firstLine="600"/>
        <w:rPr>
          <w:rFonts w:ascii="仿宋" w:hAnsi="仿宋" w:eastAsia="仿宋"/>
          <w:sz w:val="30"/>
          <w:szCs w:val="30"/>
        </w:rPr>
      </w:pPr>
      <w:r>
        <w:rPr>
          <w:rFonts w:hint="eastAsia" w:ascii="仿宋" w:hAnsi="仿宋" w:eastAsia="仿宋"/>
          <w:sz w:val="30"/>
          <w:szCs w:val="30"/>
        </w:rPr>
        <w:t>公司根据《中华人民共和国公司法》的要求制定了《海通期货股份有限公司章程》，以维护公司股东的合法权益，并在此基础上制定了海通期货股份有限公司“三会”议事规则等规章制度，形成了公司治理机制。在公司治理的实践中，公司也在不断积累经验、总结教训，按照责权明晰、强化制衡、加强风险管理的原则逐步完善公司治理机制。</w:t>
      </w:r>
    </w:p>
    <w:p>
      <w:pPr>
        <w:rPr>
          <w:rFonts w:ascii="仿宋" w:hAnsi="仿宋" w:eastAsia="仿宋"/>
          <w:b/>
          <w:sz w:val="30"/>
          <w:szCs w:val="30"/>
        </w:rPr>
      </w:pPr>
      <w:r>
        <w:rPr>
          <w:rFonts w:hint="eastAsia" w:ascii="仿宋" w:hAnsi="仿宋" w:eastAsia="仿宋"/>
          <w:b/>
          <w:sz w:val="30"/>
          <w:szCs w:val="30"/>
        </w:rPr>
        <w:t>3.2. 公司组织结构及有关人员情况</w:t>
      </w:r>
    </w:p>
    <w:p>
      <w:pPr>
        <w:rPr>
          <w:rFonts w:ascii="仿宋" w:hAnsi="仿宋" w:eastAsia="仿宋"/>
          <w:b/>
          <w:sz w:val="30"/>
          <w:szCs w:val="30"/>
        </w:rPr>
      </w:pPr>
      <w:r>
        <w:rPr>
          <w:rFonts w:hint="eastAsia" w:ascii="仿宋" w:hAnsi="仿宋" w:eastAsia="仿宋"/>
          <w:b/>
          <w:sz w:val="30"/>
          <w:szCs w:val="30"/>
        </w:rPr>
        <w:t>3.2.1.公司的组织结构</w:t>
      </w:r>
    </w:p>
    <w:p>
      <w:pPr>
        <w:widowControl/>
        <w:jc w:val="center"/>
        <w:rPr>
          <w:rFonts w:ascii="宋体" w:hAnsi="宋体" w:cs="宋体"/>
          <w:kern w:val="0"/>
          <w:sz w:val="24"/>
        </w:rPr>
      </w:pPr>
      <w:r>
        <w:rPr>
          <w:rFonts w:ascii="宋体" w:hAnsi="宋体" w:cs="宋体"/>
          <w:kern w:val="0"/>
          <w:sz w:val="24"/>
        </w:rPr>
        <w:drawing>
          <wp:inline distT="0" distB="0" distL="0" distR="0">
            <wp:extent cx="5313680" cy="3738245"/>
            <wp:effectExtent l="0" t="0" r="0" b="0"/>
            <wp:docPr id="2" name="图片 2" descr="C:\Users\admin\AppData\Roaming\Tencent\Users\166368340\QQ\WinTemp\RichOle\X(U90T5)Y@A`G)1`}G0$SK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AppData\Roaming\Tencent\Users\166368340\QQ\WinTemp\RichOle\X(U90T5)Y@A`G)1`}G0$SK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37490" cy="3754648"/>
                    </a:xfrm>
                    <a:prstGeom prst="rect">
                      <a:avLst/>
                    </a:prstGeom>
                    <a:noFill/>
                    <a:ln>
                      <a:noFill/>
                    </a:ln>
                  </pic:spPr>
                </pic:pic>
              </a:graphicData>
            </a:graphic>
          </wp:inline>
        </w:drawing>
      </w:r>
    </w:p>
    <w:p>
      <w:pPr>
        <w:widowControl/>
        <w:jc w:val="left"/>
        <w:rPr>
          <w:rFonts w:hint="eastAsia" w:ascii="宋体" w:hAnsi="宋体" w:cs="宋体"/>
          <w:kern w:val="0"/>
          <w:sz w:val="24"/>
        </w:rPr>
      </w:pPr>
    </w:p>
    <w:p>
      <w:pPr>
        <w:rPr>
          <w:rFonts w:ascii="仿宋" w:hAnsi="仿宋" w:eastAsia="仿宋"/>
          <w:b/>
          <w:sz w:val="30"/>
          <w:szCs w:val="30"/>
        </w:rPr>
      </w:pPr>
      <w:r>
        <w:rPr>
          <w:rFonts w:hint="eastAsia" w:ascii="仿宋" w:hAnsi="仿宋" w:eastAsia="仿宋"/>
          <w:b/>
          <w:sz w:val="30"/>
          <w:szCs w:val="30"/>
        </w:rPr>
        <w:t>3.2.2. 董事会（董事、独董）、监事会（监事）、高级管理人员（含履职情况）</w:t>
      </w:r>
    </w:p>
    <w:p>
      <w:pPr>
        <w:ind w:firstLine="600"/>
        <w:rPr>
          <w:rFonts w:ascii="仿宋" w:hAnsi="仿宋" w:eastAsia="仿宋"/>
          <w:sz w:val="30"/>
          <w:szCs w:val="30"/>
        </w:rPr>
      </w:pPr>
      <w:r>
        <w:rPr>
          <w:rFonts w:hint="eastAsia" w:ascii="仿宋" w:hAnsi="仿宋" w:eastAsia="仿宋"/>
          <w:sz w:val="30"/>
          <w:szCs w:val="30"/>
        </w:rPr>
        <w:t>董事会是公司的业务执行机构和经营决策机构，是依据股东会授权执行公司战略、监管公司经营的行为主体。公司自成立以来，就建立了董事会制度，规定了董事会的权利，严格按照《海通期货股份有限公司章程》和《海通期货股份有限公司董事会议事规则》的规定定期召开董事会会议，每年至少召开两次会议。公司自成立以来，董事会运作规范，有效行使了股东会和《海通期货股份有限公司章程》所赋予的职权，《海通期货股份有限公司章程》对董事会职权的规定也基本保持了稳定性和连续性。</w:t>
      </w:r>
    </w:p>
    <w:p>
      <w:pPr>
        <w:ind w:firstLine="600"/>
        <w:rPr>
          <w:rFonts w:ascii="仿宋" w:hAnsi="仿宋" w:eastAsia="仿宋"/>
          <w:sz w:val="30"/>
          <w:szCs w:val="30"/>
        </w:rPr>
      </w:pPr>
      <w:r>
        <w:rPr>
          <w:rFonts w:hint="eastAsia" w:ascii="仿宋" w:hAnsi="仿宋" w:eastAsia="仿宋"/>
          <w:sz w:val="30"/>
          <w:szCs w:val="30"/>
        </w:rPr>
        <w:t>监事会是公司的监督机构，其设立是为了保障股东权益、公司利益和员工合法权益不受侵犯。目前根据《海通期货股份有限公司章程》设立监事会，根据监事职位的监督和制衡的特点，增加监事权力的同时也不断强调其与职权相对应的义务。从实践来看，公司监事对董事会和经理层的经营管理活动起到了有效的监督作用，对公司治理的制度建设发挥了可贵的促进和补充作用。</w:t>
      </w:r>
    </w:p>
    <w:p>
      <w:pPr>
        <w:ind w:firstLine="600"/>
        <w:rPr>
          <w:rFonts w:ascii="仿宋" w:hAnsi="仿宋" w:eastAsia="仿宋"/>
          <w:sz w:val="30"/>
          <w:szCs w:val="30"/>
        </w:rPr>
      </w:pPr>
      <w:bookmarkStart w:id="0" w:name="OLE_LINK2"/>
      <w:bookmarkStart w:id="1" w:name="OLE_LINK1"/>
      <w:r>
        <w:rPr>
          <w:rFonts w:hint="eastAsia" w:ascii="仿宋" w:hAnsi="仿宋" w:eastAsia="仿宋"/>
          <w:sz w:val="30"/>
          <w:szCs w:val="30"/>
        </w:rPr>
        <w:t>海通期货股份有限公司董事、监事、高级管理人员具备相应资格，高级管理人员满足最低职数要求且能够实际履职，不存在缺位、违规兼职、任用无资格人员等情形。董事长和总经理未缺位或者相互兼任，首席风险官与独立董事依法履职。</w:t>
      </w:r>
      <w:bookmarkEnd w:id="0"/>
      <w:bookmarkEnd w:id="1"/>
    </w:p>
    <w:p>
      <w:pPr>
        <w:ind w:firstLine="600"/>
        <w:rPr>
          <w:rFonts w:ascii="仿宋" w:hAnsi="仿宋" w:eastAsia="仿宋"/>
          <w:sz w:val="30"/>
          <w:szCs w:val="30"/>
        </w:rPr>
      </w:pPr>
      <w:r>
        <w:rPr>
          <w:rFonts w:hint="eastAsia" w:ascii="仿宋" w:hAnsi="仿宋" w:eastAsia="仿宋"/>
          <w:sz w:val="30"/>
          <w:szCs w:val="30"/>
        </w:rPr>
        <w:t>公司董事、监事、高管人员名单：</w:t>
      </w:r>
    </w:p>
    <w:tbl>
      <w:tblPr>
        <w:tblStyle w:val="10"/>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058"/>
        <w:gridCol w:w="1619"/>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79" w:type="dxa"/>
            <w:vAlign w:val="center"/>
          </w:tcPr>
          <w:p>
            <w:pPr>
              <w:spacing w:line="600" w:lineRule="exact"/>
              <w:jc w:val="center"/>
              <w:rPr>
                <w:rFonts w:ascii="仿宋_GB2312" w:eastAsia="仿宋_GB2312"/>
                <w:spacing w:val="-26"/>
                <w:sz w:val="28"/>
              </w:rPr>
            </w:pPr>
            <w:r>
              <w:rPr>
                <w:rFonts w:hint="eastAsia" w:ascii="仿宋_GB2312" w:eastAsia="仿宋_GB2312"/>
                <w:spacing w:val="-26"/>
                <w:sz w:val="28"/>
              </w:rPr>
              <w:t>姓  名</w:t>
            </w:r>
          </w:p>
        </w:tc>
        <w:tc>
          <w:tcPr>
            <w:tcW w:w="3058" w:type="dxa"/>
            <w:vAlign w:val="center"/>
          </w:tcPr>
          <w:p>
            <w:pPr>
              <w:spacing w:line="600" w:lineRule="exact"/>
              <w:jc w:val="center"/>
              <w:rPr>
                <w:rFonts w:ascii="仿宋_GB2312" w:eastAsia="仿宋_GB2312"/>
                <w:spacing w:val="-26"/>
                <w:sz w:val="28"/>
              </w:rPr>
            </w:pPr>
            <w:r>
              <w:rPr>
                <w:rFonts w:hint="eastAsia" w:ascii="仿宋_GB2312" w:eastAsia="仿宋_GB2312"/>
                <w:spacing w:val="-26"/>
                <w:sz w:val="28"/>
              </w:rPr>
              <w:t>任职单位</w:t>
            </w:r>
          </w:p>
        </w:tc>
        <w:tc>
          <w:tcPr>
            <w:tcW w:w="1619" w:type="dxa"/>
            <w:vAlign w:val="center"/>
          </w:tcPr>
          <w:p>
            <w:pPr>
              <w:spacing w:line="600" w:lineRule="exact"/>
              <w:jc w:val="center"/>
              <w:rPr>
                <w:rFonts w:ascii="仿宋_GB2312" w:eastAsia="仿宋_GB2312"/>
                <w:spacing w:val="-26"/>
                <w:sz w:val="28"/>
              </w:rPr>
            </w:pPr>
            <w:r>
              <w:rPr>
                <w:rFonts w:hint="eastAsia" w:ascii="仿宋_GB2312" w:eastAsia="仿宋_GB2312"/>
                <w:spacing w:val="-26"/>
                <w:sz w:val="28"/>
              </w:rPr>
              <w:t>本公司职务</w:t>
            </w:r>
          </w:p>
        </w:tc>
        <w:tc>
          <w:tcPr>
            <w:tcW w:w="3018" w:type="dxa"/>
            <w:vAlign w:val="center"/>
          </w:tcPr>
          <w:p>
            <w:pPr>
              <w:spacing w:line="600" w:lineRule="exact"/>
              <w:jc w:val="center"/>
              <w:rPr>
                <w:rFonts w:ascii="仿宋_GB2312" w:eastAsia="仿宋_GB2312"/>
                <w:spacing w:val="-26"/>
                <w:sz w:val="28"/>
              </w:rPr>
            </w:pPr>
            <w:r>
              <w:rPr>
                <w:rFonts w:hint="eastAsia" w:ascii="仿宋_GB2312" w:eastAsia="仿宋_GB2312"/>
                <w:spacing w:val="-26"/>
                <w:sz w:val="28"/>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079" w:type="dxa"/>
            <w:vAlign w:val="center"/>
          </w:tcPr>
          <w:p>
            <w:pPr>
              <w:spacing w:line="600" w:lineRule="exact"/>
              <w:jc w:val="center"/>
              <w:rPr>
                <w:rFonts w:ascii="仿宋_GB2312" w:eastAsia="仿宋_GB2312"/>
                <w:spacing w:val="-26"/>
                <w:sz w:val="28"/>
              </w:rPr>
            </w:pPr>
            <w:r>
              <w:rPr>
                <w:rFonts w:hint="eastAsia" w:ascii="仿宋_GB2312" w:eastAsia="仿宋_GB2312"/>
                <w:spacing w:val="-26"/>
                <w:sz w:val="28"/>
              </w:rPr>
              <w:t>裴长江</w:t>
            </w:r>
          </w:p>
        </w:tc>
        <w:tc>
          <w:tcPr>
            <w:tcW w:w="3058" w:type="dxa"/>
            <w:vAlign w:val="center"/>
          </w:tcPr>
          <w:p>
            <w:pPr>
              <w:spacing w:line="600" w:lineRule="exact"/>
              <w:jc w:val="center"/>
              <w:rPr>
                <w:rFonts w:ascii="仿宋_GB2312" w:eastAsia="仿宋_GB2312"/>
                <w:spacing w:val="-26"/>
                <w:sz w:val="28"/>
              </w:rPr>
            </w:pPr>
            <w:r>
              <w:rPr>
                <w:rFonts w:hint="eastAsia" w:ascii="仿宋_GB2312" w:eastAsia="仿宋_GB2312"/>
                <w:sz w:val="28"/>
              </w:rPr>
              <w:t>海通证券股份有限公司</w:t>
            </w:r>
          </w:p>
        </w:tc>
        <w:tc>
          <w:tcPr>
            <w:tcW w:w="1619" w:type="dxa"/>
            <w:vAlign w:val="center"/>
          </w:tcPr>
          <w:p>
            <w:pPr>
              <w:spacing w:line="600" w:lineRule="exact"/>
              <w:jc w:val="center"/>
              <w:rPr>
                <w:rFonts w:ascii="仿宋_GB2312" w:eastAsia="仿宋_GB2312"/>
                <w:spacing w:val="-26"/>
                <w:sz w:val="28"/>
              </w:rPr>
            </w:pPr>
            <w:r>
              <w:rPr>
                <w:rFonts w:hint="eastAsia" w:ascii="仿宋_GB2312" w:eastAsia="仿宋_GB2312"/>
                <w:spacing w:val="-26"/>
                <w:sz w:val="28"/>
              </w:rPr>
              <w:t>董事长</w:t>
            </w:r>
          </w:p>
        </w:tc>
        <w:tc>
          <w:tcPr>
            <w:tcW w:w="3018" w:type="dxa"/>
            <w:vAlign w:val="center"/>
          </w:tcPr>
          <w:p>
            <w:pPr>
              <w:spacing w:line="600" w:lineRule="exact"/>
              <w:jc w:val="center"/>
              <w:rPr>
                <w:rFonts w:ascii="仿宋_GB2312" w:eastAsia="仿宋_GB2312"/>
                <w:spacing w:val="-26"/>
                <w:sz w:val="28"/>
              </w:rPr>
            </w:pPr>
            <w:r>
              <w:rPr>
                <w:rFonts w:hint="eastAsia" w:ascii="仿宋_GB2312" w:eastAsia="仿宋_GB2312"/>
                <w:spacing w:val="-26"/>
                <w:sz w:val="28"/>
              </w:rPr>
              <w:t>备案制 2015年</w:t>
            </w:r>
            <w:r>
              <w:rPr>
                <w:rFonts w:ascii="仿宋_GB2312" w:eastAsia="仿宋_GB2312"/>
                <w:spacing w:val="-26"/>
                <w:sz w:val="28"/>
              </w:rPr>
              <w:t>7</w:t>
            </w:r>
            <w:r>
              <w:rPr>
                <w:rFonts w:hint="eastAsia" w:ascii="仿宋_GB2312" w:eastAsia="仿宋_GB2312"/>
                <w:spacing w:val="-26"/>
                <w:sz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吴红松</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海通期货股份有限公司</w:t>
            </w:r>
          </w:p>
        </w:tc>
        <w:tc>
          <w:tcPr>
            <w:tcW w:w="1619" w:type="dxa"/>
            <w:vAlign w:val="center"/>
          </w:tcPr>
          <w:p>
            <w:pPr>
              <w:spacing w:line="600" w:lineRule="exact"/>
              <w:jc w:val="center"/>
              <w:rPr>
                <w:rFonts w:ascii="仿宋_GB2312" w:eastAsia="仿宋_GB2312"/>
                <w:spacing w:val="-20"/>
                <w:sz w:val="28"/>
              </w:rPr>
            </w:pPr>
            <w:r>
              <w:rPr>
                <w:rFonts w:hint="eastAsia" w:ascii="仿宋_GB2312" w:eastAsia="仿宋_GB2312"/>
                <w:spacing w:val="-20"/>
                <w:sz w:val="28"/>
              </w:rPr>
              <w:t>董事</w:t>
            </w:r>
          </w:p>
          <w:p>
            <w:pPr>
              <w:spacing w:line="600" w:lineRule="exact"/>
              <w:jc w:val="center"/>
              <w:rPr>
                <w:rFonts w:ascii="仿宋_GB2312" w:eastAsia="仿宋_GB2312"/>
                <w:spacing w:val="-20"/>
                <w:sz w:val="28"/>
              </w:rPr>
            </w:pPr>
            <w:r>
              <w:rPr>
                <w:rFonts w:hint="eastAsia" w:ascii="仿宋_GB2312" w:eastAsia="仿宋_GB2312"/>
                <w:spacing w:val="-20"/>
                <w:sz w:val="28"/>
              </w:rPr>
              <w:t>总经理</w:t>
            </w:r>
          </w:p>
        </w:tc>
        <w:tc>
          <w:tcPr>
            <w:tcW w:w="3018" w:type="dxa"/>
            <w:vAlign w:val="center"/>
          </w:tcPr>
          <w:p>
            <w:pPr>
              <w:spacing w:line="600" w:lineRule="exact"/>
              <w:jc w:val="center"/>
              <w:rPr>
                <w:rFonts w:ascii="仿宋_GB2312" w:eastAsia="仿宋_GB2312"/>
                <w:sz w:val="28"/>
              </w:rPr>
            </w:pPr>
            <w:r>
              <w:rPr>
                <w:rFonts w:hint="eastAsia" w:ascii="仿宋_GB2312" w:eastAsia="仿宋_GB2312"/>
                <w:spacing w:val="-26"/>
                <w:sz w:val="28"/>
              </w:rPr>
              <w:t>备案制2016年7月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许锋</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海通证券股份有限公司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董事</w:t>
            </w:r>
          </w:p>
        </w:tc>
        <w:tc>
          <w:tcPr>
            <w:tcW w:w="3018" w:type="dxa"/>
            <w:vAlign w:val="center"/>
          </w:tcPr>
          <w:p>
            <w:pPr>
              <w:spacing w:line="600" w:lineRule="exact"/>
              <w:jc w:val="center"/>
              <w:rPr>
                <w:rFonts w:ascii="仿宋_GB2312" w:eastAsia="仿宋_GB2312"/>
                <w:sz w:val="28"/>
              </w:rPr>
            </w:pPr>
            <w:r>
              <w:rPr>
                <w:rFonts w:hint="eastAsia" w:ascii="仿宋_GB2312" w:eastAsia="仿宋_GB2312"/>
                <w:spacing w:val="-26"/>
                <w:sz w:val="28"/>
              </w:rPr>
              <w:t>备案制2019年6月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黄平</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上海盛源实业（集团）有限公司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董事</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沪证监期货字〔2009〕231号</w:t>
            </w:r>
          </w:p>
          <w:p>
            <w:pPr>
              <w:spacing w:line="600" w:lineRule="exact"/>
              <w:jc w:val="center"/>
              <w:rPr>
                <w:rFonts w:ascii="仿宋_GB2312" w:eastAsia="仿宋_GB2312"/>
                <w:sz w:val="28"/>
              </w:rPr>
            </w:pPr>
            <w:r>
              <w:rPr>
                <w:rFonts w:hint="eastAsia" w:ascii="仿宋_GB2312" w:eastAsia="仿宋_GB2312"/>
                <w:spacing w:val="-20"/>
                <w:w w:val="95"/>
                <w:sz w:val="28"/>
                <w:szCs w:val="28"/>
              </w:rPr>
              <w:t>2009年12月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张少华</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海通证券股份有限公司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董事</w:t>
            </w:r>
          </w:p>
        </w:tc>
        <w:tc>
          <w:tcPr>
            <w:tcW w:w="3018" w:type="dxa"/>
            <w:vAlign w:val="center"/>
          </w:tcPr>
          <w:p>
            <w:pPr>
              <w:spacing w:line="600" w:lineRule="exact"/>
              <w:jc w:val="center"/>
              <w:rPr>
                <w:rFonts w:ascii="仿宋_GB2312" w:eastAsia="仿宋_GB2312"/>
                <w:sz w:val="28"/>
              </w:rPr>
            </w:pPr>
            <w:r>
              <w:rPr>
                <w:rFonts w:hint="eastAsia" w:ascii="仿宋_GB2312" w:eastAsia="仿宋_GB2312"/>
                <w:spacing w:val="-26"/>
                <w:sz w:val="28"/>
              </w:rPr>
              <w:t>备案制2019年6月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俞燕纹</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上海盛源实业（集团）有限公司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董事</w:t>
            </w:r>
          </w:p>
        </w:tc>
        <w:tc>
          <w:tcPr>
            <w:tcW w:w="3018" w:type="dxa"/>
            <w:vAlign w:val="center"/>
          </w:tcPr>
          <w:p>
            <w:pPr>
              <w:spacing w:line="600" w:lineRule="exact"/>
              <w:jc w:val="center"/>
              <w:rPr>
                <w:rFonts w:ascii="仿宋_GB2312" w:eastAsia="仿宋_GB2312"/>
                <w:sz w:val="28"/>
              </w:rPr>
            </w:pPr>
            <w:r>
              <w:rPr>
                <w:rFonts w:hint="eastAsia" w:ascii="仿宋_GB2312" w:eastAsia="仿宋_GB2312"/>
                <w:spacing w:val="-20"/>
                <w:w w:val="95"/>
                <w:sz w:val="28"/>
                <w:szCs w:val="28"/>
              </w:rPr>
              <w:t>备案制 2017年1月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周伟林</w:t>
            </w:r>
          </w:p>
        </w:tc>
        <w:tc>
          <w:tcPr>
            <w:tcW w:w="3058"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复旦大学中国经济</w:t>
            </w:r>
            <w:r>
              <w:rPr>
                <w:rFonts w:ascii="仿宋_GB2312" w:eastAsia="仿宋_GB2312"/>
                <w:sz w:val="28"/>
                <w:szCs w:val="28"/>
              </w:rPr>
              <w:t>研究中心</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独立董事</w:t>
            </w:r>
          </w:p>
        </w:tc>
        <w:tc>
          <w:tcPr>
            <w:tcW w:w="3018" w:type="dxa"/>
            <w:vAlign w:val="center"/>
          </w:tcPr>
          <w:p>
            <w:pPr>
              <w:spacing w:line="600" w:lineRule="exact"/>
              <w:jc w:val="center"/>
              <w:rPr>
                <w:rFonts w:ascii="仿宋_GB2312" w:eastAsia="仿宋_GB2312"/>
                <w:sz w:val="28"/>
              </w:rPr>
            </w:pPr>
            <w:r>
              <w:rPr>
                <w:rFonts w:hint="eastAsia" w:ascii="仿宋_GB2312" w:eastAsia="仿宋_GB2312"/>
                <w:spacing w:val="-20"/>
                <w:w w:val="95"/>
                <w:sz w:val="28"/>
                <w:szCs w:val="28"/>
              </w:rPr>
              <w:t>备案制2018年3月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武向阳</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海通证券股份有限公司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监事会</w:t>
            </w:r>
            <w:r>
              <w:rPr>
                <w:rFonts w:ascii="仿宋_GB2312" w:eastAsia="仿宋_GB2312"/>
                <w:sz w:val="28"/>
              </w:rPr>
              <w:t>主席</w:t>
            </w:r>
          </w:p>
        </w:tc>
        <w:tc>
          <w:tcPr>
            <w:tcW w:w="3018" w:type="dxa"/>
            <w:vAlign w:val="center"/>
          </w:tcPr>
          <w:p>
            <w:pPr>
              <w:spacing w:line="600" w:lineRule="exact"/>
              <w:jc w:val="center"/>
              <w:rPr>
                <w:rFonts w:ascii="仿宋_GB2312" w:eastAsia="仿宋_GB2312"/>
                <w:spacing w:val="-20"/>
                <w:sz w:val="28"/>
                <w:szCs w:val="28"/>
              </w:rPr>
            </w:pPr>
            <w:r>
              <w:rPr>
                <w:rFonts w:hint="eastAsia" w:ascii="仿宋_GB2312" w:eastAsia="仿宋_GB2312"/>
                <w:spacing w:val="-26"/>
                <w:sz w:val="28"/>
              </w:rPr>
              <w:t>备案制2019年6月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高欣</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上海盛源实业（集团）有限公司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监事</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6"/>
                <w:sz w:val="28"/>
              </w:rPr>
              <w:t>备案制2019年9月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朱元元</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海通证券股份有限公司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监事</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备案制2016年4月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姚弘</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海通期货</w:t>
            </w:r>
            <w:r>
              <w:rPr>
                <w:rFonts w:ascii="仿宋_GB2312" w:eastAsia="仿宋_GB2312"/>
                <w:sz w:val="28"/>
              </w:rPr>
              <w:t>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职工</w:t>
            </w:r>
            <w:r>
              <w:rPr>
                <w:rFonts w:ascii="仿宋_GB2312" w:eastAsia="仿宋_GB2312"/>
                <w:sz w:val="28"/>
              </w:rPr>
              <w:t>监事</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备案制2016年4月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林霞</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海通期货</w:t>
            </w:r>
            <w:r>
              <w:rPr>
                <w:rFonts w:ascii="仿宋_GB2312" w:eastAsia="仿宋_GB2312"/>
                <w:sz w:val="28"/>
              </w:rPr>
              <w:t>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职工</w:t>
            </w:r>
            <w:r>
              <w:rPr>
                <w:rFonts w:ascii="仿宋_GB2312" w:eastAsia="仿宋_GB2312"/>
                <w:sz w:val="28"/>
              </w:rPr>
              <w:t>监事</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备案制2016年4月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杨坤沂</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海通期货股份有限公司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常务副总经理、董事会秘书</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沪证监期货字[2012]142号</w:t>
            </w:r>
          </w:p>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2016年1月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79"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辛昭园</w:t>
            </w:r>
          </w:p>
        </w:tc>
        <w:tc>
          <w:tcPr>
            <w:tcW w:w="3058"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海通期货股份有限公司</w:t>
            </w:r>
          </w:p>
        </w:tc>
        <w:tc>
          <w:tcPr>
            <w:tcW w:w="1619"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首席风险官</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沪证监期货字[2013]147号2013年10月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史本鹏</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海通期货股份有限公司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副总经理</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沪证监期货字[2013]18号</w:t>
            </w:r>
          </w:p>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2013年2月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079" w:type="dxa"/>
          </w:tcPr>
          <w:p>
            <w:r>
              <w:rPr>
                <w:rFonts w:hint="eastAsia" w:ascii="仿宋_GB2312" w:eastAsia="仿宋_GB2312"/>
                <w:sz w:val="28"/>
              </w:rPr>
              <w:t>刘毓明</w:t>
            </w:r>
          </w:p>
        </w:tc>
        <w:tc>
          <w:tcPr>
            <w:tcW w:w="3058" w:type="dxa"/>
          </w:tcPr>
          <w:p>
            <w:pPr>
              <w:rPr>
                <w:rFonts w:ascii="仿宋_GB2312" w:eastAsia="仿宋_GB2312"/>
                <w:sz w:val="28"/>
              </w:rPr>
            </w:pPr>
            <w:r>
              <w:rPr>
                <w:rFonts w:hint="eastAsia" w:ascii="仿宋_GB2312" w:eastAsia="仿宋_GB2312"/>
                <w:sz w:val="28"/>
              </w:rPr>
              <w:t>海通期货股份有限公司</w:t>
            </w:r>
          </w:p>
        </w:tc>
        <w:tc>
          <w:tcPr>
            <w:tcW w:w="1619" w:type="dxa"/>
          </w:tcPr>
          <w:p>
            <w:pPr>
              <w:jc w:val="center"/>
              <w:rPr>
                <w:rFonts w:ascii="仿宋_GB2312" w:eastAsia="仿宋_GB2312"/>
                <w:sz w:val="28"/>
              </w:rPr>
            </w:pPr>
            <w:r>
              <w:rPr>
                <w:rFonts w:hint="eastAsia" w:ascii="仿宋_GB2312" w:eastAsia="仿宋_GB2312"/>
                <w:sz w:val="28"/>
              </w:rPr>
              <w:t>副总经理</w:t>
            </w:r>
          </w:p>
        </w:tc>
        <w:tc>
          <w:tcPr>
            <w:tcW w:w="3018" w:type="dxa"/>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备案制2015年8月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路强</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海通期货股份有限公司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副总经理</w:t>
            </w:r>
          </w:p>
        </w:tc>
        <w:tc>
          <w:tcPr>
            <w:tcW w:w="3018" w:type="dxa"/>
            <w:vAlign w:val="center"/>
          </w:tcPr>
          <w:p>
            <w:pPr>
              <w:spacing w:line="600" w:lineRule="exact"/>
              <w:jc w:val="center"/>
              <w:rPr>
                <w:rFonts w:ascii="仿宋_GB2312" w:eastAsia="仿宋_GB2312"/>
                <w:spacing w:val="-20"/>
                <w:w w:val="95"/>
                <w:sz w:val="28"/>
                <w:szCs w:val="28"/>
              </w:rPr>
            </w:pPr>
            <w:r>
              <w:rPr>
                <w:rFonts w:hint="eastAsia" w:ascii="仿宋_GB2312" w:eastAsia="仿宋_GB2312"/>
                <w:spacing w:val="-20"/>
                <w:w w:val="95"/>
                <w:sz w:val="28"/>
                <w:szCs w:val="28"/>
              </w:rPr>
              <w:t>备案制 2015年8月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079" w:type="dxa"/>
            <w:vAlign w:val="center"/>
          </w:tcPr>
          <w:p>
            <w:pPr>
              <w:spacing w:line="600" w:lineRule="exact"/>
              <w:jc w:val="center"/>
              <w:rPr>
                <w:rFonts w:ascii="仿宋_GB2312" w:eastAsia="仿宋_GB2312"/>
                <w:sz w:val="28"/>
              </w:rPr>
            </w:pPr>
            <w:r>
              <w:rPr>
                <w:rFonts w:hint="eastAsia" w:ascii="仿宋_GB2312" w:eastAsia="仿宋_GB2312"/>
                <w:sz w:val="28"/>
              </w:rPr>
              <w:t>潘丹霞</w:t>
            </w:r>
          </w:p>
        </w:tc>
        <w:tc>
          <w:tcPr>
            <w:tcW w:w="3058" w:type="dxa"/>
            <w:vAlign w:val="center"/>
          </w:tcPr>
          <w:p>
            <w:pPr>
              <w:spacing w:line="600" w:lineRule="exact"/>
              <w:jc w:val="center"/>
              <w:rPr>
                <w:rFonts w:ascii="仿宋_GB2312" w:eastAsia="仿宋_GB2312"/>
                <w:sz w:val="28"/>
              </w:rPr>
            </w:pPr>
            <w:r>
              <w:rPr>
                <w:rFonts w:hint="eastAsia" w:ascii="仿宋_GB2312" w:eastAsia="仿宋_GB2312"/>
                <w:sz w:val="28"/>
              </w:rPr>
              <w:t>海通期货股份有限公司</w:t>
            </w:r>
          </w:p>
        </w:tc>
        <w:tc>
          <w:tcPr>
            <w:tcW w:w="1619" w:type="dxa"/>
            <w:vAlign w:val="center"/>
          </w:tcPr>
          <w:p>
            <w:pPr>
              <w:spacing w:line="600" w:lineRule="exact"/>
              <w:jc w:val="center"/>
              <w:rPr>
                <w:rFonts w:ascii="仿宋_GB2312" w:eastAsia="仿宋_GB2312"/>
                <w:sz w:val="28"/>
              </w:rPr>
            </w:pPr>
            <w:r>
              <w:rPr>
                <w:rFonts w:hint="eastAsia" w:ascii="仿宋_GB2312" w:eastAsia="仿宋_GB2312"/>
                <w:sz w:val="28"/>
              </w:rPr>
              <w:t>财务总监</w:t>
            </w:r>
          </w:p>
        </w:tc>
        <w:tc>
          <w:tcPr>
            <w:tcW w:w="3018" w:type="dxa"/>
            <w:vAlign w:val="center"/>
          </w:tcPr>
          <w:p>
            <w:pPr>
              <w:spacing w:line="600" w:lineRule="exact"/>
              <w:jc w:val="center"/>
              <w:rPr>
                <w:rFonts w:ascii="仿宋_GB2312" w:eastAsia="仿宋_GB2312"/>
                <w:sz w:val="28"/>
              </w:rPr>
            </w:pPr>
            <w:r>
              <w:rPr>
                <w:rFonts w:hint="eastAsia" w:ascii="仿宋_GB2312" w:eastAsia="仿宋_GB2312"/>
                <w:spacing w:val="-26"/>
                <w:sz w:val="28"/>
              </w:rPr>
              <w:t>备案制2018年3月</w:t>
            </w:r>
          </w:p>
        </w:tc>
      </w:tr>
    </w:tbl>
    <w:p>
      <w:pPr>
        <w:rPr>
          <w:rFonts w:ascii="仿宋" w:hAnsi="仿宋" w:eastAsia="仿宋"/>
          <w:b/>
          <w:sz w:val="30"/>
          <w:szCs w:val="30"/>
        </w:rPr>
      </w:pPr>
      <w:r>
        <w:rPr>
          <w:rFonts w:hint="eastAsia" w:ascii="仿宋" w:hAnsi="仿宋" w:eastAsia="仿宋"/>
          <w:b/>
          <w:sz w:val="30"/>
          <w:szCs w:val="30"/>
        </w:rPr>
        <w:t>3.2.3.负责监督、实施和审核有关经济、环境、社会及其它相关政策的关键人员（含履职情况）</w:t>
      </w:r>
    </w:p>
    <w:p>
      <w:pPr>
        <w:ind w:firstLine="600"/>
        <w:rPr>
          <w:rFonts w:ascii="仿宋" w:hAnsi="仿宋" w:eastAsia="仿宋"/>
          <w:sz w:val="30"/>
          <w:szCs w:val="30"/>
        </w:rPr>
      </w:pPr>
      <w:r>
        <w:rPr>
          <w:rFonts w:hint="eastAsia" w:ascii="仿宋" w:hAnsi="仿宋" w:eastAsia="仿宋"/>
          <w:sz w:val="30"/>
          <w:szCs w:val="30"/>
        </w:rPr>
        <w:t>公司经营团队负责监督、实施和审核有关经济、环境、社会及其他相关政策，公司经营团队能够实际履职，不存在缺位、违规兼职、任用无资格人员等情形。</w:t>
      </w:r>
    </w:p>
    <w:p>
      <w:pPr>
        <w:ind w:firstLine="600"/>
        <w:rPr>
          <w:rFonts w:ascii="仿宋" w:hAnsi="仿宋" w:eastAsia="仿宋"/>
          <w:sz w:val="30"/>
          <w:szCs w:val="30"/>
        </w:rPr>
      </w:pPr>
      <w:r>
        <w:rPr>
          <w:rFonts w:hint="eastAsia" w:ascii="仿宋" w:hAnsi="仿宋" w:eastAsia="仿宋"/>
          <w:sz w:val="30"/>
          <w:szCs w:val="30"/>
        </w:rPr>
        <w:t>公司已建立主要的内控制度，包括开户管理、风险管理、技术管理、营业部管理等，能够做到前后台业务分开、关键业务岗位独立，覆盖经纪业务全流程，符合监管要求并有效执行。</w:t>
      </w:r>
    </w:p>
    <w:p>
      <w:pPr>
        <w:rPr>
          <w:rFonts w:ascii="仿宋" w:hAnsi="仿宋" w:eastAsia="仿宋"/>
          <w:b/>
          <w:sz w:val="30"/>
          <w:szCs w:val="30"/>
        </w:rPr>
      </w:pPr>
      <w:r>
        <w:rPr>
          <w:rFonts w:hint="eastAsia" w:ascii="仿宋" w:hAnsi="仿宋" w:eastAsia="仿宋"/>
          <w:b/>
          <w:sz w:val="30"/>
          <w:szCs w:val="30"/>
        </w:rPr>
        <w:t>3.3.公司与经济、环境和社会业绩相关的政策和实施情况</w:t>
      </w:r>
    </w:p>
    <w:p>
      <w:pPr>
        <w:rPr>
          <w:rFonts w:ascii="仿宋" w:hAnsi="仿宋" w:eastAsia="仿宋"/>
          <w:b/>
          <w:sz w:val="30"/>
          <w:szCs w:val="30"/>
        </w:rPr>
      </w:pPr>
      <w:r>
        <w:rPr>
          <w:rFonts w:hint="eastAsia" w:ascii="仿宋" w:hAnsi="仿宋" w:eastAsia="仿宋"/>
          <w:b/>
          <w:sz w:val="30"/>
          <w:szCs w:val="30"/>
        </w:rPr>
        <w:t>3.3.1.公司与经济、环境和社会业绩相关的政策</w:t>
      </w:r>
    </w:p>
    <w:p>
      <w:pPr>
        <w:ind w:firstLine="600"/>
        <w:rPr>
          <w:rFonts w:ascii="仿宋" w:hAnsi="仿宋" w:eastAsia="仿宋"/>
          <w:sz w:val="30"/>
          <w:szCs w:val="30"/>
        </w:rPr>
      </w:pPr>
      <w:r>
        <w:rPr>
          <w:rFonts w:hint="eastAsia" w:ascii="仿宋" w:hAnsi="仿宋" w:eastAsia="仿宋"/>
          <w:sz w:val="30"/>
          <w:szCs w:val="30"/>
        </w:rPr>
        <w:t>本年度海通期货经营策略是：继续以经纪业务为主，大力发展风险管理和国际业务。抢抓新业务新品种发展机遇，红枣期货、棉花期权、玉米期权、沪深300股指期权等新品种成交量和市场成交量占比均名列前茅。风险管理紧紧围绕服务实体经济的目标，为实体企业风险管理助力、创造价值。资管业务进一步加快转型步伐，大力发展自主管理型资管产品。国际业务上，过去一年公司取得了积极进展，公司成功成为多家境外金融机构截至目前唯一在国内合作的期货经纪商，国际化服务水平稳步提升。2019年，公司发起设立固定收益类的资管产品，并成功开展了银行间债券的交易,完成了银行间首次备案、银行间市场开户、债券评级等相关业务流程。强化“人才、研究、IT、风控”四根支柱建设，打造投研一体化研究平台；IT部门全力确保运维稳定，并努力实现以技术引领业务发展，为创新业务、优质客户提供支持；发挥人力资源导向作用，加大重点岗位、紧缺人才和营业部负责人的引进、调整；考核要紧密围绕公司的主要工作目标；合规风控紧跟监管步伐，全面落实适当性制度和总公司全面风险管理各项要求，保持分类监管AA评级。继续加强党建工作，增强党的领导作用，密切党群关系，促进公司整体发展。</w:t>
      </w:r>
    </w:p>
    <w:p>
      <w:pPr>
        <w:ind w:firstLine="600"/>
        <w:rPr>
          <w:rFonts w:ascii="仿宋" w:hAnsi="仿宋" w:eastAsia="仿宋"/>
          <w:sz w:val="30"/>
          <w:szCs w:val="30"/>
        </w:rPr>
      </w:pPr>
      <w:r>
        <w:rPr>
          <w:rFonts w:hint="eastAsia" w:ascii="仿宋" w:hAnsi="仿宋" w:eastAsia="仿宋"/>
          <w:sz w:val="30"/>
          <w:szCs w:val="30"/>
        </w:rPr>
        <w:t>海通期货的环境策略是：贯彻落实科学发展观要求，推进节能减排工作，开展实施节约“一滴水、一度电、一张纸”三个一工程。</w:t>
      </w:r>
    </w:p>
    <w:p>
      <w:pPr>
        <w:ind w:firstLine="600"/>
        <w:rPr>
          <w:rFonts w:ascii="仿宋" w:hAnsi="仿宋" w:eastAsia="仿宋"/>
          <w:sz w:val="30"/>
          <w:szCs w:val="30"/>
        </w:rPr>
      </w:pPr>
      <w:r>
        <w:rPr>
          <w:rFonts w:hint="eastAsia" w:ascii="仿宋" w:hAnsi="仿宋" w:eastAsia="仿宋"/>
          <w:sz w:val="30"/>
          <w:szCs w:val="30"/>
        </w:rPr>
        <w:t>海通期货的社会责任目标是：坚持服务实体经济发展根本宗旨；加大投资者教育力度，让更多的媒体和社会公众认识期货、了解期货、走近期货；增强社会责任意识，以更积极主动姿态投身社会公益活动，成为优秀的企业公民。</w:t>
      </w:r>
    </w:p>
    <w:p>
      <w:pPr>
        <w:rPr>
          <w:rFonts w:ascii="仿宋" w:hAnsi="仿宋" w:eastAsia="仿宋"/>
          <w:b/>
          <w:sz w:val="30"/>
          <w:szCs w:val="30"/>
        </w:rPr>
      </w:pPr>
      <w:r>
        <w:rPr>
          <w:rFonts w:hint="eastAsia" w:ascii="仿宋" w:hAnsi="仿宋" w:eastAsia="仿宋"/>
          <w:b/>
          <w:sz w:val="30"/>
          <w:szCs w:val="30"/>
        </w:rPr>
        <w:t>3.3.2.上述政策的实施情况</w:t>
      </w:r>
    </w:p>
    <w:p>
      <w:pPr>
        <w:ind w:firstLine="602" w:firstLineChars="200"/>
        <w:rPr>
          <w:rFonts w:ascii="仿宋" w:hAnsi="仿宋" w:eastAsia="仿宋"/>
          <w:sz w:val="30"/>
          <w:szCs w:val="30"/>
        </w:rPr>
      </w:pPr>
      <w:r>
        <w:rPr>
          <w:rFonts w:hint="eastAsia" w:ascii="仿宋" w:hAnsi="仿宋" w:eastAsia="仿宋"/>
          <w:b/>
          <w:sz w:val="30"/>
          <w:szCs w:val="30"/>
        </w:rPr>
        <w:t>经济政策实施情况</w:t>
      </w:r>
      <w:r>
        <w:rPr>
          <w:rFonts w:hint="eastAsia" w:ascii="仿宋_GB2312" w:eastAsia="仿宋_GB2312"/>
          <w:sz w:val="30"/>
          <w:szCs w:val="30"/>
        </w:rPr>
        <w:t>：</w:t>
      </w:r>
      <w:r>
        <w:rPr>
          <w:rFonts w:hint="eastAsia" w:ascii="仿宋" w:hAnsi="仿宋" w:eastAsia="仿宋"/>
          <w:sz w:val="30"/>
          <w:szCs w:val="30"/>
        </w:rPr>
        <w:t>2019年，在监管部门的正确领导下，在海通证券党委领导班子的大力支持下，我们牢牢把握服务实体经济的根本宗旨，奋斗不止，较好地完成了各项工作任务，实现了公司综合实力和品牌影响力的持续提升。</w:t>
      </w:r>
    </w:p>
    <w:p>
      <w:pPr>
        <w:ind w:firstLine="600"/>
        <w:rPr>
          <w:rFonts w:ascii="仿宋" w:hAnsi="仿宋" w:eastAsia="仿宋"/>
          <w:sz w:val="30"/>
          <w:szCs w:val="30"/>
        </w:rPr>
      </w:pPr>
      <w:r>
        <w:rPr>
          <w:rFonts w:hint="eastAsia" w:ascii="仿宋" w:hAnsi="仿宋" w:eastAsia="仿宋"/>
          <w:b/>
          <w:sz w:val="30"/>
          <w:szCs w:val="30"/>
        </w:rPr>
        <w:t>环境与社会政策实施情况</w:t>
      </w:r>
      <w:r>
        <w:rPr>
          <w:rFonts w:hint="eastAsia" w:ascii="仿宋_GB2312" w:eastAsia="仿宋_GB2312"/>
          <w:sz w:val="30"/>
          <w:szCs w:val="30"/>
        </w:rPr>
        <w:t>：</w:t>
      </w:r>
      <w:r>
        <w:rPr>
          <w:rFonts w:hint="eastAsia" w:ascii="仿宋" w:hAnsi="仿宋" w:eastAsia="仿宋"/>
          <w:sz w:val="30"/>
          <w:szCs w:val="30"/>
        </w:rPr>
        <w:t>海通期货大力落实环境保护政策精神，以节水、节电、节纸等方面为突破口落实公共节能减耗制度：为冬夏两季空调温度设置限度；共享使用打印机、复印机等办公设备，减少能耗；节约使用办公用品，全面推行无纸化，推进网上办公、视频会议，推广使用再生纸，减少一次性办公用品的使用；开展废旧电脑及各种办公用品耗材的回收利用，促进办公用品的高效利用和循环利用，取得了良好成效。</w:t>
      </w:r>
    </w:p>
    <w:p>
      <w:pPr>
        <w:ind w:firstLine="600"/>
        <w:rPr>
          <w:rFonts w:ascii="仿宋" w:hAnsi="仿宋" w:eastAsia="仿宋"/>
          <w:sz w:val="30"/>
          <w:szCs w:val="30"/>
        </w:rPr>
      </w:pPr>
      <w:r>
        <w:rPr>
          <w:rFonts w:hint="eastAsia" w:ascii="仿宋" w:hAnsi="仿宋" w:eastAsia="仿宋"/>
          <w:b/>
          <w:sz w:val="30"/>
          <w:szCs w:val="30"/>
        </w:rPr>
        <w:t>社会业绩实施情况</w:t>
      </w:r>
      <w:r>
        <w:rPr>
          <w:rFonts w:hint="eastAsia" w:ascii="仿宋_GB2312" w:eastAsia="仿宋_GB2312"/>
          <w:color w:val="000000"/>
          <w:sz w:val="30"/>
          <w:szCs w:val="30"/>
        </w:rPr>
        <w:t>：</w:t>
      </w:r>
      <w:r>
        <w:rPr>
          <w:rFonts w:hint="eastAsia" w:ascii="仿宋" w:hAnsi="仿宋" w:eastAsia="仿宋"/>
          <w:sz w:val="30"/>
          <w:szCs w:val="30"/>
        </w:rPr>
        <w:t>公司紧跟国家政策方针，坚持以服务实体经济为导向，积极响应中国证监会《关于发挥资本市场作用服务国家脱贫攻坚战略的意见》、中期协《期货行业服务国家脱贫攻坚战略行动倡议书》的号召，充分发挥期货专业优势，协同多方资源与力量，不断加大精准扶贫力度。2019年公司及风险管理子公司在贫困地区开展了2个“保险+期货”项目和1个场外期权扶贫试点项目，参与了1个“保险+期货”扶贫试点项目，取得了良好的保障效果。同时，公司参与中期协在证监会定点扶贫新疆麦盖提县组织的联合精准帮扶活动，与麦盖提县签订结对帮扶协议，投入70万元用于当地新建日光温室大棚，帮助当地46户脱贫 户实现就业分红。此外，响应各地监管部门、协会号召，在乡村基建、街道公益、拥军优属、教育扶贫等方面捐资捐款，采购贫困地区优质农副产品，总计金额超过40万元；形成了自身的“精准滴灌工作法”扶贫党建品牌。在慈善公益方面，持续关爱社区失独老人，获得2018-2019年浦东新区慈善公益奖，并获推参评“中华慈善奖”。</w:t>
      </w:r>
    </w:p>
    <w:p>
      <w:pPr>
        <w:ind w:firstLine="600"/>
        <w:rPr>
          <w:rFonts w:ascii="仿宋" w:hAnsi="仿宋" w:eastAsia="仿宋"/>
          <w:sz w:val="30"/>
          <w:szCs w:val="30"/>
        </w:rPr>
      </w:pPr>
      <w:r>
        <w:rPr>
          <w:rFonts w:hint="eastAsia" w:ascii="仿宋" w:hAnsi="仿宋" w:eastAsia="仿宋"/>
          <w:sz w:val="30"/>
          <w:szCs w:val="30"/>
        </w:rPr>
        <w:t>2019年，公司组织了多期志愿者活动，取得了良好的社会效果。公司注重保护员工合法权益，积极组织员工参加业务知识、自我发展、信息安全、防灾自救等类型培训，为员工打造可持续发展平台；对在校学生和对期货行业有强烈兴趣的年轻人开放实习机会，不断加大应届毕业生招聘比例，制订应届毕业生培养流程；注重培养员工“孝道、互助、奉献”精神，连续九年每年慰问员工家属，受到员工家属的高度评价和真诚反馈。</w:t>
      </w:r>
    </w:p>
    <w:p>
      <w:pPr>
        <w:rPr>
          <w:rFonts w:ascii="仿宋" w:hAnsi="仿宋" w:eastAsia="仿宋"/>
          <w:b/>
          <w:sz w:val="30"/>
          <w:szCs w:val="30"/>
        </w:rPr>
      </w:pPr>
      <w:r>
        <w:rPr>
          <w:rFonts w:hint="eastAsia" w:ascii="仿宋" w:hAnsi="仿宋" w:eastAsia="仿宋"/>
          <w:b/>
          <w:sz w:val="30"/>
          <w:szCs w:val="30"/>
        </w:rPr>
        <w:t>3.4.利益相关者参与情况</w:t>
      </w:r>
    </w:p>
    <w:p>
      <w:pPr>
        <w:ind w:firstLine="600"/>
        <w:rPr>
          <w:rFonts w:ascii="仿宋" w:hAnsi="仿宋" w:eastAsia="仿宋"/>
          <w:sz w:val="30"/>
          <w:szCs w:val="30"/>
        </w:rPr>
      </w:pPr>
      <w:r>
        <w:rPr>
          <w:rFonts w:hint="eastAsia" w:ascii="仿宋" w:hAnsi="仿宋" w:eastAsia="仿宋"/>
          <w:sz w:val="30"/>
          <w:szCs w:val="30"/>
        </w:rPr>
        <w:t>海通证券作为本公司的控股母公司，大力支持海通期货做优做强。不仅在战略层面引领、指导，也在实际经营中加以扶持，共同推动协同发展。截止2019年底，证券协同方面，在集团大力支持下，公司已与集团多个部门展开合作对接，协同业务开展规模、合作种类、创收能力都得到了巨大提升。2019年，协同业务完成项目67项，全年共计为集团创收超过9066万元，合计协同业务项目收入2078.5万元。</w:t>
      </w:r>
    </w:p>
    <w:p>
      <w:pPr>
        <w:ind w:firstLine="600"/>
        <w:rPr>
          <w:rFonts w:ascii="仿宋" w:hAnsi="仿宋" w:eastAsia="仿宋"/>
          <w:sz w:val="30"/>
          <w:szCs w:val="30"/>
        </w:rPr>
      </w:pPr>
      <w:r>
        <w:rPr>
          <w:rFonts w:hint="eastAsia" w:ascii="仿宋" w:hAnsi="仿宋" w:eastAsia="仿宋"/>
          <w:sz w:val="30"/>
          <w:szCs w:val="30"/>
        </w:rPr>
        <w:t>IB方面，全年完成IB考核基期权益6.79亿翻番目标，产品及自然人客户增长6.96亿元。截至年末，总权益达到日均13.75亿元、期末13.81亿元。IB营业部增加13家，达到123家，同时实现证券IB营业部期货权益亿元规模零的突破，数量上达到4家。</w:t>
      </w:r>
    </w:p>
    <w:p>
      <w:pPr>
        <w:rPr>
          <w:rFonts w:ascii="仿宋" w:hAnsi="仿宋" w:eastAsia="仿宋"/>
          <w:b/>
          <w:sz w:val="30"/>
          <w:szCs w:val="30"/>
        </w:rPr>
      </w:pPr>
      <w:r>
        <w:rPr>
          <w:rFonts w:hint="eastAsia" w:ascii="仿宋" w:hAnsi="仿宋" w:eastAsia="仿宋"/>
          <w:b/>
          <w:sz w:val="30"/>
          <w:szCs w:val="30"/>
        </w:rPr>
        <w:t>3.5.履行社会责任的计划和政策</w:t>
      </w:r>
    </w:p>
    <w:p>
      <w:pPr>
        <w:rPr>
          <w:rFonts w:ascii="仿宋" w:hAnsi="仿宋" w:eastAsia="仿宋"/>
          <w:b/>
          <w:sz w:val="30"/>
          <w:szCs w:val="30"/>
        </w:rPr>
      </w:pPr>
      <w:r>
        <w:rPr>
          <w:rFonts w:hint="eastAsia" w:ascii="仿宋" w:hAnsi="仿宋" w:eastAsia="仿宋"/>
          <w:b/>
          <w:sz w:val="30"/>
          <w:szCs w:val="30"/>
        </w:rPr>
        <w:t>3.5.1.履行经济、环境和社会责任的计划与步骤</w:t>
      </w:r>
    </w:p>
    <w:p>
      <w:pPr>
        <w:rPr>
          <w:rFonts w:ascii="仿宋" w:hAnsi="仿宋" w:eastAsia="仿宋"/>
          <w:b/>
          <w:sz w:val="30"/>
          <w:szCs w:val="30"/>
        </w:rPr>
      </w:pPr>
      <w:r>
        <w:rPr>
          <w:rFonts w:hint="eastAsia" w:ascii="仿宋" w:hAnsi="仿宋" w:eastAsia="仿宋"/>
          <w:b/>
          <w:sz w:val="30"/>
          <w:szCs w:val="30"/>
        </w:rPr>
        <w:t>一、履行对股东的承诺：</w:t>
      </w:r>
    </w:p>
    <w:p>
      <w:pPr>
        <w:pStyle w:val="15"/>
        <w:spacing w:line="240" w:lineRule="auto"/>
        <w:ind w:firstLine="600"/>
        <w:rPr>
          <w:rFonts w:ascii="仿宋" w:hAnsi="仿宋" w:eastAsia="仿宋"/>
          <w:sz w:val="30"/>
          <w:szCs w:val="30"/>
        </w:rPr>
      </w:pPr>
      <w:r>
        <w:rPr>
          <w:rFonts w:hint="eastAsia" w:ascii="仿宋" w:hAnsi="仿宋" w:eastAsia="仿宋"/>
          <w:sz w:val="30"/>
          <w:szCs w:val="30"/>
        </w:rPr>
        <w:t>1.本着贯彻股东利益最大化的原则，进一步完善公司治理结构，确保所有股东充分享有法律、法规、规章所规定的各项合法权益。</w:t>
      </w:r>
    </w:p>
    <w:p>
      <w:pPr>
        <w:pStyle w:val="15"/>
        <w:spacing w:line="240" w:lineRule="auto"/>
        <w:ind w:firstLine="600"/>
        <w:rPr>
          <w:rFonts w:ascii="仿宋" w:hAnsi="仿宋" w:eastAsia="仿宋"/>
          <w:sz w:val="30"/>
          <w:szCs w:val="30"/>
        </w:rPr>
      </w:pPr>
      <w:r>
        <w:rPr>
          <w:rFonts w:hint="eastAsia" w:ascii="仿宋" w:hAnsi="仿宋" w:eastAsia="仿宋"/>
          <w:sz w:val="30"/>
          <w:szCs w:val="30"/>
        </w:rPr>
        <w:t xml:space="preserve">2.公司严格按照有关法律、法规、规章履行信息披露义务。对可能影响股东投资决策的信息积极进行自愿性披露，并公平对待所有股东。 </w:t>
      </w:r>
    </w:p>
    <w:p>
      <w:pPr>
        <w:pStyle w:val="15"/>
        <w:spacing w:line="240" w:lineRule="auto"/>
        <w:ind w:firstLine="600"/>
        <w:rPr>
          <w:rFonts w:ascii="仿宋" w:hAnsi="仿宋" w:eastAsia="仿宋"/>
          <w:sz w:val="30"/>
          <w:szCs w:val="30"/>
        </w:rPr>
      </w:pPr>
      <w:r>
        <w:rPr>
          <w:rFonts w:hint="eastAsia" w:ascii="仿宋" w:hAnsi="仿宋" w:eastAsia="仿宋"/>
          <w:sz w:val="30"/>
          <w:szCs w:val="30"/>
        </w:rPr>
        <w:t xml:space="preserve">3.制订公司长期且相对稳定的利润分配政策，制定切实合理的分红方案，积极回报股东。 </w:t>
      </w:r>
    </w:p>
    <w:p>
      <w:pPr>
        <w:pStyle w:val="15"/>
        <w:spacing w:line="240" w:lineRule="auto"/>
        <w:ind w:firstLine="600"/>
        <w:rPr>
          <w:rFonts w:ascii="仿宋" w:hAnsi="仿宋" w:eastAsia="仿宋"/>
          <w:sz w:val="30"/>
          <w:szCs w:val="30"/>
        </w:rPr>
      </w:pPr>
      <w:r>
        <w:rPr>
          <w:rFonts w:hint="eastAsia" w:ascii="仿宋" w:hAnsi="仿宋" w:eastAsia="仿宋"/>
          <w:sz w:val="30"/>
          <w:szCs w:val="30"/>
        </w:rPr>
        <w:t>4.提升公司风险管理水平，确保公司财务稳健，保障公司资金安全。</w:t>
      </w:r>
    </w:p>
    <w:p>
      <w:pPr>
        <w:pStyle w:val="16"/>
        <w:numPr>
          <w:ilvl w:val="0"/>
          <w:numId w:val="1"/>
        </w:numPr>
        <w:rPr>
          <w:rFonts w:ascii="仿宋" w:hAnsi="仿宋" w:eastAsia="仿宋"/>
          <w:b/>
          <w:sz w:val="30"/>
          <w:szCs w:val="30"/>
        </w:rPr>
      </w:pPr>
      <w:r>
        <w:rPr>
          <w:rFonts w:hint="eastAsia" w:ascii="仿宋" w:hAnsi="仿宋" w:eastAsia="仿宋"/>
          <w:b/>
          <w:sz w:val="30"/>
          <w:szCs w:val="30"/>
        </w:rPr>
        <w:t>履行对客户的承诺：</w:t>
      </w:r>
    </w:p>
    <w:p>
      <w:pPr>
        <w:pStyle w:val="15"/>
        <w:spacing w:line="240" w:lineRule="auto"/>
        <w:ind w:firstLine="600"/>
        <w:rPr>
          <w:rFonts w:ascii="仿宋" w:hAnsi="仿宋" w:eastAsia="仿宋"/>
          <w:sz w:val="30"/>
          <w:szCs w:val="30"/>
        </w:rPr>
      </w:pPr>
      <w:r>
        <w:rPr>
          <w:rFonts w:hint="eastAsia" w:ascii="仿宋" w:hAnsi="仿宋" w:eastAsia="仿宋"/>
          <w:sz w:val="30"/>
          <w:szCs w:val="30"/>
        </w:rPr>
        <w:t>1.紧贴市场，立足创新，不断推出满足客户需求的优质产品和服务。</w:t>
      </w:r>
    </w:p>
    <w:p>
      <w:pPr>
        <w:pStyle w:val="15"/>
        <w:spacing w:line="240" w:lineRule="auto"/>
        <w:ind w:firstLine="600"/>
        <w:rPr>
          <w:rFonts w:ascii="仿宋" w:hAnsi="仿宋" w:eastAsia="仿宋"/>
          <w:sz w:val="30"/>
          <w:szCs w:val="30"/>
        </w:rPr>
      </w:pPr>
      <w:r>
        <w:rPr>
          <w:rFonts w:hint="eastAsia" w:ascii="仿宋" w:hAnsi="仿宋" w:eastAsia="仿宋"/>
          <w:sz w:val="30"/>
          <w:szCs w:val="30"/>
        </w:rPr>
        <w:t>2.根据各类客户的需求，鼓励各业务部门以及各营业部开展形式多样的期货知识培训工作。</w:t>
      </w:r>
    </w:p>
    <w:p>
      <w:pPr>
        <w:pStyle w:val="15"/>
        <w:spacing w:line="240" w:lineRule="auto"/>
        <w:ind w:firstLine="600"/>
        <w:rPr>
          <w:rFonts w:ascii="仿宋" w:hAnsi="仿宋" w:eastAsia="仿宋"/>
          <w:sz w:val="30"/>
          <w:szCs w:val="30"/>
        </w:rPr>
      </w:pPr>
      <w:r>
        <w:rPr>
          <w:rFonts w:hint="eastAsia" w:ascii="仿宋" w:hAnsi="仿宋" w:eastAsia="仿宋"/>
          <w:sz w:val="30"/>
          <w:szCs w:val="30"/>
        </w:rPr>
        <w:t>3.维护和公平对待企业客户及个人客户的合法权益，并向各类客户及时充分地揭示相关期货风险和披露相关信息。</w:t>
      </w:r>
    </w:p>
    <w:p>
      <w:pPr>
        <w:pStyle w:val="15"/>
        <w:spacing w:line="240" w:lineRule="auto"/>
        <w:ind w:firstLine="600"/>
        <w:rPr>
          <w:rFonts w:ascii="仿宋" w:hAnsi="仿宋" w:eastAsia="仿宋"/>
          <w:sz w:val="30"/>
          <w:szCs w:val="30"/>
        </w:rPr>
      </w:pPr>
      <w:r>
        <w:rPr>
          <w:rFonts w:hint="eastAsia" w:ascii="仿宋" w:hAnsi="仿宋" w:eastAsia="仿宋"/>
          <w:sz w:val="30"/>
          <w:szCs w:val="30"/>
        </w:rPr>
        <w:t>4.提高各业务部门和营业部的服务质量，强化客户信息保密制度，切实有效地维护期货公司与客户之间的互信。</w:t>
      </w:r>
    </w:p>
    <w:p>
      <w:pPr>
        <w:pStyle w:val="15"/>
        <w:spacing w:line="240" w:lineRule="auto"/>
        <w:ind w:firstLine="600"/>
        <w:rPr>
          <w:rFonts w:ascii="仿宋" w:hAnsi="仿宋" w:eastAsia="仿宋"/>
          <w:sz w:val="30"/>
          <w:szCs w:val="30"/>
        </w:rPr>
      </w:pPr>
      <w:r>
        <w:rPr>
          <w:rFonts w:hint="eastAsia" w:ascii="仿宋" w:hAnsi="仿宋" w:eastAsia="仿宋"/>
          <w:sz w:val="30"/>
          <w:szCs w:val="30"/>
        </w:rPr>
        <w:t>5.公司应妥善保管客户的个人信息，未经授权许可，不得为牟利而使用或转售个人信息。</w:t>
      </w:r>
    </w:p>
    <w:p>
      <w:pPr>
        <w:rPr>
          <w:rFonts w:ascii="仿宋" w:hAnsi="仿宋" w:eastAsia="仿宋"/>
          <w:b/>
          <w:sz w:val="30"/>
          <w:szCs w:val="30"/>
        </w:rPr>
      </w:pPr>
      <w:r>
        <w:rPr>
          <w:rFonts w:hint="eastAsia" w:ascii="仿宋" w:hAnsi="仿宋" w:eastAsia="仿宋"/>
          <w:b/>
          <w:sz w:val="30"/>
          <w:szCs w:val="30"/>
        </w:rPr>
        <w:t>三、保障员工权益：</w:t>
      </w:r>
    </w:p>
    <w:p>
      <w:pPr>
        <w:pStyle w:val="15"/>
        <w:spacing w:line="240" w:lineRule="auto"/>
        <w:ind w:firstLine="600"/>
        <w:rPr>
          <w:rFonts w:ascii="仿宋" w:hAnsi="仿宋" w:eastAsia="仿宋"/>
          <w:sz w:val="30"/>
          <w:szCs w:val="30"/>
        </w:rPr>
      </w:pPr>
      <w:r>
        <w:rPr>
          <w:rFonts w:hint="eastAsia" w:ascii="仿宋" w:hAnsi="仿宋" w:eastAsia="仿宋"/>
          <w:sz w:val="30"/>
          <w:szCs w:val="30"/>
        </w:rPr>
        <w:t>1.公司严格遵守《劳动法》，依法保护员工的合法权益，建立和完善包括薪酬体系、激励机制等在内的用人制度，保障员工依法享有劳动权利和履行劳动义务。</w:t>
      </w:r>
    </w:p>
    <w:p>
      <w:pPr>
        <w:pStyle w:val="15"/>
        <w:spacing w:line="240" w:lineRule="auto"/>
        <w:ind w:firstLine="600"/>
        <w:rPr>
          <w:rFonts w:ascii="仿宋" w:hAnsi="仿宋" w:eastAsia="仿宋"/>
          <w:sz w:val="30"/>
          <w:szCs w:val="30"/>
        </w:rPr>
      </w:pPr>
      <w:r>
        <w:rPr>
          <w:rFonts w:hint="eastAsia" w:ascii="仿宋" w:hAnsi="仿宋" w:eastAsia="仿宋"/>
          <w:sz w:val="30"/>
          <w:szCs w:val="30"/>
        </w:rPr>
        <w:t>2.公司建立职业培训制度，按照国家规定提取和使用职业培训经费，积极开展员工培训，并鼓励和支持员工参加业余培训，为员工发展提供更多的机会。</w:t>
      </w:r>
    </w:p>
    <w:p>
      <w:pPr>
        <w:pStyle w:val="15"/>
        <w:spacing w:line="240" w:lineRule="auto"/>
        <w:ind w:firstLine="600"/>
        <w:rPr>
          <w:rFonts w:ascii="仿宋" w:hAnsi="仿宋" w:eastAsia="仿宋"/>
          <w:sz w:val="30"/>
          <w:szCs w:val="30"/>
        </w:rPr>
      </w:pPr>
      <w:r>
        <w:rPr>
          <w:rFonts w:hint="eastAsia" w:ascii="仿宋" w:hAnsi="仿宋" w:eastAsia="仿宋"/>
          <w:sz w:val="30"/>
          <w:szCs w:val="30"/>
        </w:rPr>
        <w:t>3.继续完善员工的福利保障机制，营造安全的工作场所（包括：卫生安全、后勤保障、消防安全保障、工作环境安全保障等）。</w:t>
      </w:r>
    </w:p>
    <w:p>
      <w:pPr>
        <w:pStyle w:val="15"/>
        <w:spacing w:line="240" w:lineRule="auto"/>
        <w:ind w:firstLine="600"/>
        <w:rPr>
          <w:rFonts w:ascii="仿宋" w:hAnsi="仿宋" w:eastAsia="仿宋"/>
          <w:sz w:val="30"/>
          <w:szCs w:val="30"/>
        </w:rPr>
      </w:pPr>
      <w:r>
        <w:rPr>
          <w:rFonts w:hint="eastAsia" w:ascii="仿宋" w:hAnsi="仿宋" w:eastAsia="仿宋"/>
          <w:sz w:val="30"/>
          <w:szCs w:val="30"/>
        </w:rPr>
        <w:t>4.公司应遵循按劳分配、同工同酬的原则，不克扣或者无故拖欠劳动者的工资，不采取纯劳务性质的合约安排或变相试用等形式降低对员工的工资支付和社会保障。</w:t>
      </w:r>
    </w:p>
    <w:p>
      <w:pPr>
        <w:pStyle w:val="15"/>
        <w:spacing w:line="240" w:lineRule="auto"/>
        <w:ind w:firstLine="600"/>
        <w:rPr>
          <w:rFonts w:ascii="仿宋" w:hAnsi="仿宋" w:eastAsia="仿宋"/>
          <w:sz w:val="30"/>
          <w:szCs w:val="30"/>
        </w:rPr>
      </w:pPr>
      <w:r>
        <w:rPr>
          <w:rFonts w:hint="eastAsia" w:ascii="仿宋" w:hAnsi="仿宋" w:eastAsia="仿宋"/>
          <w:sz w:val="30"/>
          <w:szCs w:val="30"/>
        </w:rPr>
        <w:t>5.公司不干涉员工信仰自由，不因民族、种族、国籍、宗教信仰、性别、年龄等对员工在聘用、报酬、培训机会、升迁、解职或退休等方面采取歧视行为。</w:t>
      </w:r>
    </w:p>
    <w:p>
      <w:pPr>
        <w:rPr>
          <w:rFonts w:ascii="仿宋" w:hAnsi="仿宋" w:eastAsia="仿宋"/>
          <w:b/>
          <w:sz w:val="30"/>
          <w:szCs w:val="30"/>
        </w:rPr>
      </w:pPr>
      <w:r>
        <w:rPr>
          <w:rFonts w:hint="eastAsia" w:ascii="仿宋" w:hAnsi="仿宋" w:eastAsia="仿宋"/>
          <w:b/>
          <w:sz w:val="30"/>
          <w:szCs w:val="30"/>
        </w:rPr>
        <w:t>四、积极履行社会公益：</w:t>
      </w:r>
    </w:p>
    <w:p>
      <w:pPr>
        <w:pStyle w:val="15"/>
        <w:ind w:firstLine="600"/>
        <w:rPr>
          <w:rFonts w:ascii="仿宋" w:hAnsi="仿宋" w:eastAsia="仿宋"/>
          <w:sz w:val="30"/>
          <w:szCs w:val="30"/>
        </w:rPr>
      </w:pPr>
      <w:r>
        <w:rPr>
          <w:rFonts w:hint="eastAsia" w:ascii="仿宋" w:hAnsi="仿宋" w:eastAsia="仿宋"/>
          <w:sz w:val="30"/>
          <w:szCs w:val="30"/>
        </w:rPr>
        <w:t>1.公司主动接受政府部门和监管机构的监督与检查，关注社会公众及新闻媒体对公司的评论。</w:t>
      </w:r>
    </w:p>
    <w:p>
      <w:pPr>
        <w:pStyle w:val="15"/>
        <w:ind w:firstLine="600"/>
        <w:rPr>
          <w:rFonts w:ascii="仿宋" w:hAnsi="仿宋" w:eastAsia="仿宋"/>
          <w:sz w:val="30"/>
          <w:szCs w:val="30"/>
        </w:rPr>
      </w:pPr>
      <w:r>
        <w:rPr>
          <w:rFonts w:hint="eastAsia" w:ascii="仿宋" w:hAnsi="仿宋" w:eastAsia="仿宋"/>
          <w:sz w:val="30"/>
          <w:szCs w:val="30"/>
        </w:rPr>
        <w:t>2.公司积极参加总部和各营业部所在地区的期货知识普及教育工作，促进公司所在地区的发展。</w:t>
      </w:r>
    </w:p>
    <w:p>
      <w:pPr>
        <w:pStyle w:val="15"/>
        <w:spacing w:line="240" w:lineRule="auto"/>
        <w:ind w:firstLine="600"/>
        <w:rPr>
          <w:rFonts w:ascii="仿宋" w:hAnsi="仿宋" w:eastAsia="仿宋"/>
          <w:sz w:val="30"/>
          <w:szCs w:val="30"/>
        </w:rPr>
      </w:pPr>
      <w:r>
        <w:rPr>
          <w:rFonts w:hint="eastAsia" w:ascii="仿宋" w:hAnsi="仿宋" w:eastAsia="仿宋"/>
          <w:sz w:val="30"/>
          <w:szCs w:val="30"/>
        </w:rPr>
        <w:t>3.公司工会组织充分发挥职能作用，各工会小组主动关心员工的工作和生活，让员工在困难的时候有倾诉的窗口，为员工办实事、送温暖、稳定公司员工队伍，让员工充分感受到工会组织的关心和温暖，协调和帮助员工解除后顾之忧。</w:t>
      </w:r>
    </w:p>
    <w:p>
      <w:pPr>
        <w:rPr>
          <w:rFonts w:ascii="仿宋" w:hAnsi="仿宋" w:eastAsia="仿宋"/>
          <w:b/>
          <w:sz w:val="30"/>
          <w:szCs w:val="30"/>
        </w:rPr>
      </w:pPr>
      <w:r>
        <w:rPr>
          <w:rFonts w:hint="eastAsia" w:ascii="仿宋" w:hAnsi="仿宋" w:eastAsia="仿宋"/>
          <w:b/>
          <w:sz w:val="30"/>
          <w:szCs w:val="30"/>
        </w:rPr>
        <w:t>五、落实环境保护：</w:t>
      </w:r>
    </w:p>
    <w:p>
      <w:pPr>
        <w:pStyle w:val="15"/>
        <w:spacing w:line="240" w:lineRule="auto"/>
        <w:ind w:firstLine="600"/>
        <w:rPr>
          <w:rFonts w:ascii="仿宋" w:hAnsi="仿宋" w:eastAsia="仿宋"/>
          <w:sz w:val="30"/>
          <w:szCs w:val="30"/>
        </w:rPr>
      </w:pPr>
      <w:r>
        <w:rPr>
          <w:rFonts w:hint="eastAsia" w:ascii="仿宋" w:hAnsi="仿宋" w:eastAsia="仿宋"/>
          <w:sz w:val="30"/>
          <w:szCs w:val="30"/>
        </w:rPr>
        <w:t>1.进一步发挥期货公司在社会资源配置中的杠杆作用，通过套期保值等金融工具支持客户节约能源，保护环境。</w:t>
      </w:r>
    </w:p>
    <w:p>
      <w:pPr>
        <w:pStyle w:val="15"/>
        <w:spacing w:line="240" w:lineRule="auto"/>
        <w:ind w:firstLine="600"/>
        <w:rPr>
          <w:rFonts w:ascii="仿宋" w:hAnsi="仿宋" w:eastAsia="仿宋"/>
          <w:sz w:val="30"/>
          <w:szCs w:val="30"/>
        </w:rPr>
      </w:pPr>
      <w:r>
        <w:rPr>
          <w:rFonts w:hint="eastAsia" w:ascii="仿宋" w:hAnsi="仿宋" w:eastAsia="仿宋"/>
          <w:sz w:val="30"/>
          <w:szCs w:val="30"/>
        </w:rPr>
        <w:t>2.制定资源节约与环境保护计划，采用环保的材料和可以节约能源、减少废料的原料，降低能源消耗，减少污染物排放，并尽可能对废料进行回收和循环利用，尽可能减少自身日常运营对环境的负面影响。</w:t>
      </w:r>
    </w:p>
    <w:p>
      <w:pPr>
        <w:pStyle w:val="15"/>
        <w:spacing w:line="240" w:lineRule="auto"/>
        <w:ind w:firstLine="600"/>
        <w:rPr>
          <w:rFonts w:ascii="仿宋" w:hAnsi="仿宋" w:eastAsia="仿宋"/>
          <w:sz w:val="30"/>
          <w:szCs w:val="30"/>
        </w:rPr>
      </w:pPr>
      <w:r>
        <w:rPr>
          <w:rFonts w:hint="eastAsia" w:ascii="仿宋" w:hAnsi="仿宋" w:eastAsia="仿宋"/>
          <w:sz w:val="30"/>
          <w:szCs w:val="30"/>
        </w:rPr>
        <w:t>3.创造一个可持续发展的环境。</w:t>
      </w:r>
    </w:p>
    <w:p>
      <w:pPr>
        <w:pStyle w:val="16"/>
        <w:numPr>
          <w:ilvl w:val="0"/>
          <w:numId w:val="2"/>
        </w:numPr>
        <w:rPr>
          <w:rFonts w:ascii="仿宋" w:hAnsi="仿宋" w:eastAsia="仿宋"/>
          <w:b/>
          <w:sz w:val="30"/>
          <w:szCs w:val="30"/>
        </w:rPr>
      </w:pPr>
      <w:r>
        <w:rPr>
          <w:rFonts w:hint="eastAsia" w:ascii="仿宋" w:hAnsi="仿宋" w:eastAsia="仿宋"/>
          <w:b/>
          <w:sz w:val="30"/>
          <w:szCs w:val="30"/>
        </w:rPr>
        <w:t>开展社会责任重点项目：</w:t>
      </w:r>
    </w:p>
    <w:p>
      <w:pPr>
        <w:ind w:firstLine="600" w:firstLineChars="200"/>
        <w:rPr>
          <w:rFonts w:ascii="仿宋" w:hAnsi="仿宋" w:eastAsia="仿宋"/>
          <w:sz w:val="30"/>
          <w:szCs w:val="30"/>
        </w:rPr>
      </w:pPr>
      <w:r>
        <w:rPr>
          <w:rFonts w:hint="eastAsia" w:ascii="仿宋" w:hAnsi="仿宋" w:eastAsia="仿宋"/>
          <w:sz w:val="30"/>
          <w:szCs w:val="30"/>
        </w:rPr>
        <w:t>1.开展“期货+保险”、场外期权试点项目，服务实体经济发展；积极参与中期协在证监会定点扶贫新疆麦盖提县组织的联合精准帮扶活动。</w:t>
      </w:r>
    </w:p>
    <w:p>
      <w:pPr>
        <w:ind w:firstLine="600" w:firstLineChars="200"/>
        <w:rPr>
          <w:rFonts w:ascii="仿宋" w:hAnsi="仿宋" w:eastAsia="仿宋"/>
          <w:sz w:val="30"/>
          <w:szCs w:val="30"/>
        </w:rPr>
      </w:pPr>
      <w:r>
        <w:rPr>
          <w:rFonts w:hint="eastAsia" w:ascii="仿宋" w:hAnsi="仿宋" w:eastAsia="仿宋"/>
          <w:sz w:val="30"/>
          <w:szCs w:val="30"/>
        </w:rPr>
        <w:t>2.积极参与慈善活动，强化企业回馈社会。</w:t>
      </w:r>
    </w:p>
    <w:p>
      <w:pPr>
        <w:ind w:firstLine="600" w:firstLineChars="200"/>
        <w:rPr>
          <w:rFonts w:ascii="仿宋" w:hAnsi="仿宋" w:eastAsia="仿宋"/>
          <w:sz w:val="30"/>
          <w:szCs w:val="30"/>
        </w:rPr>
      </w:pPr>
      <w:r>
        <w:rPr>
          <w:rFonts w:hint="eastAsia" w:ascii="仿宋" w:hAnsi="仿宋" w:eastAsia="仿宋"/>
          <w:sz w:val="30"/>
          <w:szCs w:val="30"/>
        </w:rPr>
        <w:t>3.致力成为国内一流期货公司。</w:t>
      </w:r>
    </w:p>
    <w:p>
      <w:pPr>
        <w:ind w:firstLine="600" w:firstLineChars="200"/>
        <w:rPr>
          <w:rFonts w:ascii="仿宋" w:hAnsi="仿宋" w:eastAsia="仿宋"/>
          <w:sz w:val="30"/>
          <w:szCs w:val="30"/>
        </w:rPr>
      </w:pPr>
      <w:r>
        <w:rPr>
          <w:rFonts w:hint="eastAsia" w:ascii="仿宋" w:hAnsi="仿宋" w:eastAsia="仿宋"/>
          <w:sz w:val="30"/>
          <w:szCs w:val="30"/>
        </w:rPr>
        <w:t>4.加大人才引进和培养力度，不断加大应届毕业生招聘力度，制订应届毕业生培养流程。</w:t>
      </w:r>
    </w:p>
    <w:p>
      <w:pPr>
        <w:pStyle w:val="15"/>
        <w:spacing w:line="240" w:lineRule="auto"/>
        <w:ind w:firstLine="600"/>
        <w:rPr>
          <w:rFonts w:ascii="仿宋" w:hAnsi="仿宋" w:eastAsia="仿宋"/>
          <w:sz w:val="30"/>
          <w:szCs w:val="30"/>
        </w:rPr>
      </w:pPr>
      <w:r>
        <w:rPr>
          <w:rFonts w:hint="eastAsia" w:ascii="仿宋" w:hAnsi="仿宋" w:eastAsia="仿宋"/>
          <w:sz w:val="30"/>
          <w:szCs w:val="30"/>
        </w:rPr>
        <w:t>5.提高服务水平，不断提升海通期货品牌形象和客户美誉度。</w:t>
      </w:r>
    </w:p>
    <w:p>
      <w:pPr>
        <w:rPr>
          <w:rFonts w:ascii="仿宋" w:hAnsi="仿宋" w:eastAsia="仿宋" w:cs="仿宋"/>
          <w:color w:val="FF0000"/>
          <w:sz w:val="30"/>
          <w:szCs w:val="30"/>
        </w:rPr>
      </w:pPr>
      <w:r>
        <w:rPr>
          <w:rFonts w:hint="eastAsia" w:ascii="仿宋" w:hAnsi="仿宋" w:eastAsia="仿宋" w:cs="仿宋"/>
          <w:b/>
          <w:sz w:val="30"/>
          <w:szCs w:val="30"/>
        </w:rPr>
        <w:t>3.5.2.环境、健康与安全政策</w:t>
      </w:r>
    </w:p>
    <w:p>
      <w:pPr>
        <w:ind w:firstLine="600" w:firstLineChars="200"/>
        <w:rPr>
          <w:rFonts w:ascii="仿宋" w:hAnsi="仿宋" w:eastAsia="仿宋"/>
          <w:sz w:val="30"/>
          <w:szCs w:val="30"/>
        </w:rPr>
      </w:pPr>
      <w:r>
        <w:rPr>
          <w:rFonts w:hint="eastAsia" w:ascii="仿宋" w:hAnsi="仿宋" w:eastAsia="仿宋"/>
          <w:sz w:val="30"/>
          <w:szCs w:val="30"/>
        </w:rPr>
        <w:t>海通期货的环境、健康与安全政策是：通过开展持续不断的培训，提升员工对健康与安全的认识度；通过持续改善员工的福利待遇、工作环境，营造可持续发展氛围。</w:t>
      </w:r>
    </w:p>
    <w:p>
      <w:pPr>
        <w:rPr>
          <w:rFonts w:ascii="仿宋" w:hAnsi="仿宋" w:eastAsia="仿宋" w:cs="仿宋"/>
          <w:b/>
          <w:sz w:val="30"/>
          <w:szCs w:val="30"/>
        </w:rPr>
      </w:pPr>
      <w:r>
        <w:rPr>
          <w:rFonts w:hint="eastAsia" w:ascii="仿宋" w:hAnsi="仿宋" w:eastAsia="仿宋" w:cs="仿宋"/>
          <w:b/>
          <w:sz w:val="30"/>
          <w:szCs w:val="30"/>
        </w:rPr>
        <w:t>3.6. 取得经济、环境和社会管理体系有关的具有公信力的认证状况</w:t>
      </w:r>
    </w:p>
    <w:p>
      <w:pPr>
        <w:ind w:firstLine="600" w:firstLineChars="200"/>
        <w:rPr>
          <w:rFonts w:ascii="仿宋" w:hAnsi="仿宋" w:eastAsia="仿宋"/>
          <w:sz w:val="30"/>
          <w:szCs w:val="30"/>
        </w:rPr>
      </w:pPr>
      <w:r>
        <w:rPr>
          <w:rFonts w:hint="eastAsia" w:ascii="仿宋" w:hAnsi="仿宋" w:eastAsia="仿宋"/>
          <w:sz w:val="30"/>
          <w:szCs w:val="30"/>
        </w:rPr>
        <w:t>公司在年初获得上期所年度优秀会员金奖等13项奖项，获奖总数位列第二；获得大商所年度优秀会员金奖等9项奖项，获奖总数位列第二；获得郑商所年度优秀会员等19项奖项，获奖总数并列第二；获得中金所年度综合奖白金奖等5项奖项，获奖总数并列第一。同时，公司获得2019年度最佳期货公司、中国期货公司金牌管理团队等多项荣誉，入选年度金融企业品牌百强榜。公司还获得“期乐杯”玉米期权知识竞赛团队二等奖及优秀组织单位；荣获上期所"保险+期货"三等奖；《创新“保险+期货”，丰富精准扶贫路径-服务大豆产业案例》成功入围中期协20篇“优秀案例库”。</w:t>
      </w:r>
    </w:p>
    <w:p>
      <w:pPr>
        <w:ind w:firstLine="600" w:firstLineChars="200"/>
        <w:rPr>
          <w:rFonts w:ascii="仿宋_GB2312" w:eastAsia="仿宋_GB2312"/>
          <w:sz w:val="30"/>
          <w:szCs w:val="30"/>
        </w:rPr>
      </w:pPr>
      <w:r>
        <w:rPr>
          <w:rFonts w:hint="eastAsia" w:ascii="仿宋" w:hAnsi="仿宋" w:eastAsia="仿宋"/>
          <w:sz w:val="30"/>
          <w:szCs w:val="30"/>
        </w:rPr>
        <w:t>公司总经理吴红松先生获得中国期货公司年度最佳掌舵人、2019“沪上金融家”沪上金融行业创新人物等荣誉。</w:t>
      </w:r>
    </w:p>
    <w:p>
      <w:pPr>
        <w:rPr>
          <w:rFonts w:ascii="仿宋" w:hAnsi="仿宋" w:eastAsia="仿宋" w:cs="仿宋"/>
          <w:b/>
          <w:sz w:val="30"/>
          <w:szCs w:val="30"/>
        </w:rPr>
      </w:pPr>
      <w:r>
        <w:rPr>
          <w:rFonts w:hint="eastAsia" w:ascii="仿宋" w:hAnsi="仿宋" w:eastAsia="仿宋" w:cs="仿宋"/>
          <w:b/>
          <w:sz w:val="30"/>
          <w:szCs w:val="30"/>
        </w:rPr>
        <w:t>4.经济责任与业绩</w:t>
      </w:r>
    </w:p>
    <w:p>
      <w:pPr>
        <w:rPr>
          <w:rFonts w:ascii="仿宋" w:hAnsi="仿宋" w:eastAsia="仿宋" w:cs="仿宋"/>
          <w:b/>
          <w:sz w:val="30"/>
          <w:szCs w:val="30"/>
        </w:rPr>
      </w:pPr>
      <w:r>
        <w:rPr>
          <w:rFonts w:hint="eastAsia" w:ascii="仿宋" w:hAnsi="仿宋" w:eastAsia="仿宋" w:cs="仿宋"/>
          <w:b/>
          <w:sz w:val="30"/>
          <w:szCs w:val="30"/>
        </w:rPr>
        <w:t>4.1.公司经济发展大事记</w:t>
      </w:r>
    </w:p>
    <w:p>
      <w:pPr>
        <w:ind w:firstLine="600" w:firstLineChars="200"/>
        <w:rPr>
          <w:rFonts w:ascii="仿宋" w:hAnsi="仿宋" w:eastAsia="仿宋"/>
          <w:sz w:val="30"/>
          <w:szCs w:val="30"/>
        </w:rPr>
      </w:pPr>
      <w:r>
        <w:rPr>
          <w:rFonts w:hint="eastAsia" w:ascii="仿宋" w:hAnsi="仿宋" w:eastAsia="仿宋"/>
          <w:sz w:val="30"/>
          <w:szCs w:val="30"/>
        </w:rPr>
        <w:t>2019年，本公司面对复杂多变的市场环境，强化市场战略、团队建设、业务创新和营销转型，各个条线均取得了新的成绩，为新一年的发展奠定了基础。</w:t>
      </w:r>
    </w:p>
    <w:p>
      <w:pPr>
        <w:ind w:firstLine="600" w:firstLineChars="200"/>
        <w:rPr>
          <w:rFonts w:ascii="仿宋" w:hAnsi="仿宋" w:eastAsia="仿宋"/>
          <w:sz w:val="30"/>
          <w:szCs w:val="30"/>
        </w:rPr>
      </w:pPr>
      <w:r>
        <w:rPr>
          <w:rFonts w:hint="eastAsia" w:ascii="仿宋" w:hAnsi="仿宋" w:eastAsia="仿宋"/>
          <w:sz w:val="30"/>
          <w:szCs w:val="30"/>
        </w:rPr>
        <w:t>1、传统业务保持稳健。2019年，以单边计算，2019年1-12月公司代理交易额为19.82万亿元，市场占比为6.82%。金融期货方面，股指类品种全年成交额为7.84万亿元，同比增长289.98%，市场占比7.15%。</w:t>
      </w:r>
    </w:p>
    <w:p>
      <w:pPr>
        <w:ind w:firstLine="600" w:firstLineChars="200"/>
        <w:rPr>
          <w:rFonts w:ascii="仿宋" w:hAnsi="仿宋" w:eastAsia="仿宋"/>
          <w:sz w:val="30"/>
          <w:szCs w:val="30"/>
        </w:rPr>
      </w:pPr>
      <w:r>
        <w:rPr>
          <w:rFonts w:hint="eastAsia" w:ascii="仿宋" w:hAnsi="仿宋" w:eastAsia="仿宋"/>
          <w:sz w:val="30"/>
          <w:szCs w:val="30"/>
        </w:rPr>
        <w:t>2. 创新业务稳步发展。2019年，公司发起设立固定收益类的资管产品，并成功开展了银行间债券的交易,完成了银行间首次备案、银行间市场开户、债券评级等相关业务流程。同时，与证券多个部门开展协作，协作范围更广，产品类型更加丰富，包括推出纾困系列和科创系列产品等。截至年末，公司资管业务规模达91.16亿元，较2018年12月底的49.3亿元同比增长84.91%，规模保持行业头部地位。IB营业部增加13家，达到123家，同时实现证券IB营业部期货权益亿元规模零的突破，数量上达到4家。</w:t>
      </w:r>
    </w:p>
    <w:p>
      <w:pPr>
        <w:ind w:firstLine="600" w:firstLineChars="200"/>
        <w:rPr>
          <w:rFonts w:ascii="仿宋" w:hAnsi="仿宋" w:eastAsia="仿宋"/>
          <w:sz w:val="30"/>
          <w:szCs w:val="30"/>
        </w:rPr>
      </w:pPr>
      <w:r>
        <w:rPr>
          <w:rFonts w:hint="eastAsia" w:ascii="仿宋" w:hAnsi="仿宋" w:eastAsia="仿宋"/>
          <w:sz w:val="30"/>
          <w:szCs w:val="30"/>
        </w:rPr>
        <w:t>3、新品种新业务及国际化取得进步。抢抓新业务新品种发展机遇，红枣期货、棉花期权、玉米期权、沪深300股指期权等新品种成交量和市场成交量占比均名列前茅。风险管理紧紧围绕服务实体经济的目标，为实体企业风险管理助力、创造价值。资管业务进一步加快转型步伐，大力发展自主管理型资管产品。国际业务上，过去一年公司取得了积极进展，公司成功成为多家境外金融机构截至目前唯一在国内合作的期货经纪商，国际化服务水平稳步提升。</w:t>
      </w:r>
    </w:p>
    <w:p>
      <w:pPr>
        <w:ind w:firstLine="600" w:firstLineChars="200"/>
        <w:rPr>
          <w:rFonts w:ascii="仿宋" w:hAnsi="仿宋" w:eastAsia="仿宋"/>
          <w:sz w:val="30"/>
          <w:szCs w:val="30"/>
        </w:rPr>
      </w:pPr>
      <w:r>
        <w:rPr>
          <w:rFonts w:hint="eastAsia" w:ascii="仿宋" w:hAnsi="仿宋" w:eastAsia="仿宋"/>
          <w:sz w:val="30"/>
          <w:szCs w:val="30"/>
        </w:rPr>
        <w:t>4、合规内控基础不断夯实。按照“人人合规、时时合规、处处合规”的要求，公司牢牢把握住不发生重大风险、严守合规的底线，持续深化合规及全面风险管理工作，推进稽核审计工作，全年未发生重大合规风险事件，在最新的分类评价中保持AA级，为业务持续稳健发展奠定了基础。这也是公司连续三年分类评价为AA级。在反洗钱工作上，面对严峻的反洗钱工作形势，公司开展了机制建设、客户识别、培训测试等工作，提升了员工反洗钱意识及反洗钱工作水平。</w:t>
      </w:r>
    </w:p>
    <w:p>
      <w:pPr>
        <w:numPr>
          <w:ilvl w:val="255"/>
          <w:numId w:val="0"/>
        </w:numPr>
        <w:ind w:firstLine="600" w:firstLineChars="200"/>
        <w:rPr>
          <w:rFonts w:ascii="仿宋" w:hAnsi="仿宋" w:eastAsia="仿宋"/>
          <w:sz w:val="30"/>
          <w:szCs w:val="30"/>
        </w:rPr>
      </w:pPr>
      <w:r>
        <w:rPr>
          <w:rFonts w:hint="eastAsia" w:ascii="仿宋" w:hAnsi="仿宋" w:eastAsia="仿宋"/>
          <w:sz w:val="30"/>
          <w:szCs w:val="30"/>
        </w:rPr>
        <w:t>品牌形象持续提升。全年获得上期所年度优秀会员金奖、中金所综合奖白金奖、郑商所年度优秀会员、大商所年度优秀会员金奖等交易所奖项，以及协会、媒体等各类机构颁发的奖项共计100余项，品牌形象和市场影响力持续提升。</w:t>
      </w:r>
    </w:p>
    <w:p>
      <w:pPr>
        <w:rPr>
          <w:rFonts w:ascii="仿宋" w:hAnsi="仿宋" w:eastAsia="仿宋" w:cs="仿宋"/>
          <w:b/>
          <w:sz w:val="30"/>
          <w:szCs w:val="30"/>
        </w:rPr>
      </w:pPr>
      <w:r>
        <w:rPr>
          <w:rFonts w:hint="eastAsia" w:ascii="仿宋" w:hAnsi="仿宋" w:eastAsia="仿宋" w:cs="仿宋"/>
          <w:b/>
          <w:sz w:val="30"/>
          <w:szCs w:val="30"/>
        </w:rPr>
        <w:t>4.2.公司各类风险监管指标</w:t>
      </w:r>
    </w:p>
    <w:p>
      <w:pPr>
        <w:rPr>
          <w:rFonts w:ascii="仿宋" w:hAnsi="仿宋" w:eastAsia="仿宋"/>
          <w:sz w:val="30"/>
          <w:szCs w:val="30"/>
        </w:rPr>
      </w:pPr>
      <w:r>
        <w:rPr>
          <w:rFonts w:hint="eastAsia" w:ascii="仿宋_GB2312" w:eastAsia="仿宋_GB2312"/>
          <w:color w:val="000000"/>
          <w:sz w:val="30"/>
          <w:szCs w:val="30"/>
        </w:rPr>
        <w:t xml:space="preserve">  </w:t>
      </w:r>
      <w:r>
        <w:rPr>
          <w:rFonts w:hint="eastAsia" w:ascii="仿宋_GB2312" w:eastAsia="仿宋_GB2312"/>
          <w:sz w:val="30"/>
          <w:szCs w:val="30"/>
        </w:rPr>
        <w:t xml:space="preserve">  </w:t>
      </w:r>
      <w:r>
        <w:rPr>
          <w:rFonts w:hint="eastAsia" w:ascii="仿宋" w:hAnsi="仿宋" w:eastAsia="仿宋"/>
          <w:sz w:val="30"/>
          <w:szCs w:val="30"/>
        </w:rPr>
        <w:t>截止2019年末，公司注册资本13.015亿元，净资本11.73亿元，风险资本准备总额为6.53亿元。净资本与风险资本准备总额的比例为180%，净资产为27.69亿元，净资本与净资产的比例为42.36%，扣除客户权益后流动资产与流动负债的比例为711%，扣除客户权益后负债与净资产的比例为12%，各项风险监管指标均符合监管部门要求。</w:t>
      </w:r>
    </w:p>
    <w:p>
      <w:pPr>
        <w:rPr>
          <w:rFonts w:ascii="仿宋" w:hAnsi="仿宋" w:eastAsia="仿宋" w:cs="仿宋"/>
          <w:b/>
          <w:sz w:val="30"/>
          <w:szCs w:val="30"/>
        </w:rPr>
      </w:pPr>
      <w:r>
        <w:rPr>
          <w:rFonts w:hint="eastAsia" w:ascii="仿宋" w:hAnsi="仿宋" w:eastAsia="仿宋" w:cs="仿宋"/>
          <w:b/>
          <w:sz w:val="30"/>
          <w:szCs w:val="30"/>
        </w:rPr>
        <w:t>4.3.对利益相关者的利益分配</w:t>
      </w:r>
    </w:p>
    <w:p>
      <w:pPr>
        <w:ind w:firstLine="600" w:firstLineChars="200"/>
        <w:rPr>
          <w:rFonts w:ascii="仿宋" w:hAnsi="仿宋" w:eastAsia="仿宋"/>
          <w:sz w:val="30"/>
          <w:szCs w:val="30"/>
        </w:rPr>
      </w:pPr>
      <w:r>
        <w:rPr>
          <w:rFonts w:hint="eastAsia" w:ascii="仿宋" w:hAnsi="仿宋" w:eastAsia="仿宋"/>
          <w:sz w:val="30"/>
          <w:szCs w:val="30"/>
        </w:rPr>
        <w:t>2019年，公司实现营业收入75.19亿元，同比增长19%；利润总额2.91亿元，同比减少34.10%；实现净利润2.15亿元，同比下降34.89%。</w:t>
      </w:r>
    </w:p>
    <w:p>
      <w:pPr>
        <w:ind w:firstLine="600" w:firstLineChars="200"/>
        <w:rPr>
          <w:rFonts w:ascii="仿宋" w:hAnsi="仿宋" w:eastAsia="仿宋"/>
          <w:sz w:val="30"/>
          <w:szCs w:val="30"/>
        </w:rPr>
      </w:pPr>
      <w:r>
        <w:rPr>
          <w:rFonts w:hint="eastAsia" w:ascii="仿宋" w:hAnsi="仿宋" w:eastAsia="仿宋"/>
          <w:sz w:val="30"/>
          <w:szCs w:val="30"/>
        </w:rPr>
        <w:t>IB业务按约定进行手续费分摊。</w:t>
      </w:r>
    </w:p>
    <w:p>
      <w:pPr>
        <w:ind w:firstLine="600" w:firstLineChars="200"/>
        <w:rPr>
          <w:rFonts w:ascii="仿宋" w:hAnsi="仿宋" w:eastAsia="仿宋"/>
          <w:sz w:val="30"/>
          <w:szCs w:val="30"/>
        </w:rPr>
      </w:pPr>
      <w:r>
        <w:rPr>
          <w:rFonts w:hint="eastAsia" w:ascii="仿宋" w:hAnsi="仿宋" w:eastAsia="仿宋"/>
          <w:sz w:val="30"/>
          <w:szCs w:val="30"/>
        </w:rPr>
        <w:t>公司在期货行业中建立了完善的激励性薪酬福利体系，以体现员工劳动力价格市场化，增强薪酬的外部竞争力为理念，充分体现按劳分配原则的基础上，实现以价值贡献为导向的分配机制，使员工可以共享公司发展成果，不仅增强了公司内部的凝聚力，而且吸引了越来越多的行业人才加入。</w:t>
      </w:r>
    </w:p>
    <w:p>
      <w:pPr>
        <w:ind w:firstLine="600" w:firstLineChars="200"/>
        <w:rPr>
          <w:rFonts w:ascii="仿宋" w:hAnsi="仿宋" w:eastAsia="仿宋"/>
          <w:sz w:val="30"/>
          <w:szCs w:val="30"/>
        </w:rPr>
      </w:pPr>
      <w:r>
        <w:rPr>
          <w:rFonts w:hint="eastAsia" w:ascii="仿宋" w:hAnsi="仿宋" w:eastAsia="仿宋"/>
          <w:sz w:val="30"/>
          <w:szCs w:val="30"/>
        </w:rPr>
        <w:t>公司建立了完善的员工社会福利保障体系，除五险一金外，还为员工投保补充医疗保险、发放高温（取暖）补贴和独生子女费等，切实保障每一位在职员工的福利待遇。</w:t>
      </w:r>
    </w:p>
    <w:p>
      <w:pPr>
        <w:rPr>
          <w:rFonts w:ascii="仿宋" w:hAnsi="仿宋" w:eastAsia="仿宋" w:cs="仿宋"/>
          <w:b/>
          <w:sz w:val="30"/>
          <w:szCs w:val="30"/>
        </w:rPr>
      </w:pPr>
      <w:r>
        <w:rPr>
          <w:rFonts w:hint="eastAsia" w:ascii="仿宋" w:hAnsi="仿宋" w:eastAsia="仿宋" w:cs="仿宋"/>
          <w:b/>
          <w:sz w:val="30"/>
          <w:szCs w:val="30"/>
        </w:rPr>
        <w:t>4.4.固定资产投资及评估</w:t>
      </w:r>
    </w:p>
    <w:p>
      <w:pPr>
        <w:ind w:firstLine="600" w:firstLineChars="200"/>
        <w:rPr>
          <w:rFonts w:ascii="仿宋" w:hAnsi="仿宋" w:eastAsia="仿宋"/>
          <w:sz w:val="30"/>
          <w:szCs w:val="30"/>
        </w:rPr>
      </w:pPr>
      <w:r>
        <w:rPr>
          <w:rFonts w:hint="eastAsia" w:ascii="仿宋" w:hAnsi="仿宋" w:eastAsia="仿宋"/>
          <w:sz w:val="30"/>
          <w:szCs w:val="30"/>
        </w:rPr>
        <w:t>公司严格遵循《海通期货有限公司固定资产管理办法》，确保固定资产的真实、完整和安全，加强对固定投资项目的审计监督、效益评估与分析，正确评价项目的盈利能力和经营风险水平，提高固定资产投资效益，节约工程建设资金，减少建设过程中的损失和浪费，符合节能环保、高效节约的原则。</w:t>
      </w:r>
    </w:p>
    <w:p>
      <w:pPr>
        <w:rPr>
          <w:rFonts w:ascii="仿宋" w:hAnsi="仿宋" w:eastAsia="仿宋" w:cs="仿宋"/>
          <w:b/>
          <w:sz w:val="30"/>
          <w:szCs w:val="30"/>
        </w:rPr>
      </w:pPr>
      <w:r>
        <w:rPr>
          <w:rFonts w:hint="eastAsia" w:ascii="仿宋" w:hAnsi="仿宋" w:eastAsia="仿宋" w:cs="仿宋"/>
          <w:b/>
          <w:sz w:val="30"/>
          <w:szCs w:val="30"/>
        </w:rPr>
        <w:t>5.社会责任与业绩</w:t>
      </w:r>
      <w:r>
        <w:rPr>
          <w:rFonts w:hint="eastAsia" w:ascii="仿宋" w:hAnsi="仿宋" w:eastAsia="仿宋" w:cs="仿宋"/>
          <w:b/>
          <w:sz w:val="30"/>
          <w:szCs w:val="30"/>
        </w:rPr>
        <w:tab/>
      </w:r>
    </w:p>
    <w:p>
      <w:pPr>
        <w:rPr>
          <w:rFonts w:ascii="仿宋" w:hAnsi="仿宋" w:eastAsia="仿宋" w:cs="仿宋"/>
          <w:b/>
          <w:sz w:val="30"/>
          <w:szCs w:val="30"/>
        </w:rPr>
      </w:pPr>
      <w:r>
        <w:rPr>
          <w:rFonts w:hint="eastAsia" w:ascii="仿宋" w:hAnsi="仿宋" w:eastAsia="仿宋" w:cs="仿宋"/>
          <w:b/>
          <w:sz w:val="30"/>
          <w:szCs w:val="30"/>
        </w:rPr>
        <w:t>5.1公司社会责任大事记</w:t>
      </w:r>
    </w:p>
    <w:p>
      <w:pPr>
        <w:ind w:firstLine="600" w:firstLineChars="200"/>
        <w:rPr>
          <w:rFonts w:ascii="仿宋" w:hAnsi="仿宋" w:eastAsia="仿宋"/>
          <w:sz w:val="30"/>
          <w:szCs w:val="30"/>
        </w:rPr>
      </w:pPr>
      <w:r>
        <w:rPr>
          <w:rFonts w:hint="eastAsia" w:ascii="仿宋" w:hAnsi="仿宋" w:eastAsia="仿宋"/>
          <w:sz w:val="30"/>
          <w:szCs w:val="30"/>
        </w:rPr>
        <w:t>在践行社会责任方面，2019年公司及风险管理子公司在贫困地区开展了2个“保险+期货”项目和1个场外期权扶贫试点项目，参与了1个“保险+期货”扶贫试点项目，取得了良好的保障效果。同时，公司参与中期协在证监会定点扶贫新疆麦盖提县组织的联合精准帮扶活动，与麦盖提县签订结对帮扶协议，投入70万元用于当地新建日光温室大棚，帮助当地46户脱贫户实现就业分红。此外，响应各地监管部门、协会号召，在乡村基建、街道公益、拥军优属、教育扶贫等方面捐资捐款，采购贫困地区优质农副产品，总计金额超过40万元；形成了自身的“精准滴灌工作法”扶贫党建品牌。在慈善公益方面，持续关爱社区失独老人，获得2018-2019年浦东新区慈善公益奖，并获推参评“中华慈善奖”。</w:t>
      </w:r>
    </w:p>
    <w:p>
      <w:pPr>
        <w:ind w:firstLine="600" w:firstLineChars="200"/>
        <w:rPr>
          <w:rFonts w:ascii="仿宋" w:hAnsi="仿宋" w:eastAsia="仿宋"/>
          <w:sz w:val="30"/>
          <w:szCs w:val="30"/>
        </w:rPr>
      </w:pPr>
      <w:r>
        <w:rPr>
          <w:rFonts w:hint="eastAsia" w:ascii="仿宋" w:hAnsi="仿宋" w:eastAsia="仿宋"/>
          <w:sz w:val="30"/>
          <w:szCs w:val="30"/>
        </w:rPr>
        <w:t>此外，近年来，海通期货组织了多期志愿者活动和无偿献血活动，取得了良好的社会效果；公司注重人才培养，为行业培养输出人才，注重发扬员工主人翁精神，培养员工的忠诚度和归属感，自2011年起，每年春节为员工父母发放慰问金，感谢员工家属支持，受到员工家属的热烈反馈和高度赞同。</w:t>
      </w:r>
    </w:p>
    <w:p>
      <w:pPr>
        <w:rPr>
          <w:rFonts w:ascii="仿宋" w:hAnsi="仿宋" w:eastAsia="仿宋" w:cs="仿宋"/>
          <w:b/>
          <w:sz w:val="30"/>
          <w:szCs w:val="30"/>
        </w:rPr>
      </w:pPr>
      <w:r>
        <w:rPr>
          <w:rFonts w:hint="eastAsia" w:ascii="仿宋" w:hAnsi="仿宋" w:eastAsia="仿宋" w:cs="仿宋"/>
          <w:b/>
          <w:sz w:val="30"/>
          <w:szCs w:val="30"/>
        </w:rPr>
        <w:t>5.2.员工管理</w:t>
      </w:r>
    </w:p>
    <w:p>
      <w:pPr>
        <w:rPr>
          <w:rFonts w:ascii="仿宋" w:hAnsi="仿宋" w:eastAsia="仿宋" w:cs="仿宋"/>
          <w:b/>
          <w:sz w:val="30"/>
          <w:szCs w:val="30"/>
        </w:rPr>
      </w:pPr>
      <w:r>
        <w:rPr>
          <w:rFonts w:hint="eastAsia" w:ascii="仿宋" w:hAnsi="仿宋" w:eastAsia="仿宋" w:cs="仿宋"/>
          <w:b/>
          <w:sz w:val="30"/>
          <w:szCs w:val="30"/>
        </w:rPr>
        <w:t>5.2.1.关于员工的基本理念</w:t>
      </w:r>
    </w:p>
    <w:p>
      <w:pPr>
        <w:ind w:firstLine="600" w:firstLineChars="200"/>
        <w:rPr>
          <w:rFonts w:ascii="仿宋" w:hAnsi="仿宋" w:eastAsia="仿宋"/>
          <w:sz w:val="30"/>
          <w:szCs w:val="30"/>
        </w:rPr>
      </w:pPr>
      <w:r>
        <w:rPr>
          <w:rFonts w:hint="eastAsia" w:ascii="仿宋" w:hAnsi="仿宋" w:eastAsia="仿宋"/>
          <w:sz w:val="30"/>
          <w:szCs w:val="30"/>
        </w:rPr>
        <w:t>海通期货本着对公司业务与员工职业生涯高度负责的态度，致力于打造完善的人力资源体系，以事业吸引人才、以创新的机制优化人才结构、以良好环境和待遇激励人才、以优秀的企业文化熏陶人才，激发人才的创造活力和提高人才的核心竞争力，实现员工个人价值。</w:t>
      </w:r>
    </w:p>
    <w:p>
      <w:pPr>
        <w:ind w:firstLine="600" w:firstLineChars="200"/>
        <w:rPr>
          <w:rFonts w:ascii="仿宋" w:hAnsi="仿宋" w:eastAsia="仿宋"/>
          <w:sz w:val="30"/>
          <w:szCs w:val="30"/>
        </w:rPr>
      </w:pPr>
      <w:r>
        <w:rPr>
          <w:rFonts w:hint="eastAsia" w:ascii="仿宋" w:hAnsi="仿宋" w:eastAsia="仿宋"/>
          <w:sz w:val="30"/>
          <w:szCs w:val="30"/>
        </w:rPr>
        <w:t>海通期货人才观的核心，一是按照“培养、引进、稳定”六字方针，把人才队伍建大建强；坚持“是我所需、为我所用”的引进原则，特别注重投资咨询水平高、营销能力强的人才引进工作；坚持“海纳百川、五湖四海、德才兼备、以德为先”的用人标准和“不能让综合素质高的人吃亏，不能让能干事、有业绩的人吃亏，不让老实人吃亏”的用人导向，不断充实干部人才队伍。</w:t>
      </w:r>
    </w:p>
    <w:p>
      <w:pPr>
        <w:ind w:firstLine="600" w:firstLineChars="200"/>
        <w:rPr>
          <w:rFonts w:ascii="仿宋" w:hAnsi="仿宋" w:eastAsia="仿宋"/>
          <w:sz w:val="30"/>
          <w:szCs w:val="30"/>
        </w:rPr>
      </w:pPr>
      <w:r>
        <w:rPr>
          <w:rFonts w:hint="eastAsia" w:ascii="仿宋" w:hAnsi="仿宋" w:eastAsia="仿宋"/>
          <w:sz w:val="30"/>
          <w:szCs w:val="30"/>
        </w:rPr>
        <w:t>二是建立市场化、创新的人才选拔培养机制。“不论资排辈，不问出处，不论亲疏，只讲业绩，只看能力”，在人才培育方面坚持德才兼备，重视队伍建设，打造人才梯队，在薪酬待遇方面坚持市场化导向，着力解决“干与不干不一样，干多干少不一样，干好干坏不一样”，建立了具有海通特色的公平、开放的人才选拔培养机制。</w:t>
      </w:r>
    </w:p>
    <w:p>
      <w:pPr>
        <w:ind w:firstLine="600" w:firstLineChars="200"/>
        <w:rPr>
          <w:rFonts w:ascii="仿宋" w:hAnsi="仿宋" w:eastAsia="仿宋"/>
          <w:sz w:val="30"/>
          <w:szCs w:val="30"/>
        </w:rPr>
      </w:pPr>
      <w:r>
        <w:rPr>
          <w:rFonts w:hint="eastAsia" w:ascii="仿宋" w:hAnsi="仿宋" w:eastAsia="仿宋"/>
          <w:sz w:val="30"/>
          <w:szCs w:val="30"/>
        </w:rPr>
        <w:t>三是以科学的方法管理使用人才，强调对人才的包容性与可塑性。大力招聘和培养应届毕业生，并对在校学生和对期货有强烈兴趣的年轻人开放实习机会，为公司和行业的未来发展培养生力军。</w:t>
      </w:r>
    </w:p>
    <w:p>
      <w:pPr>
        <w:ind w:firstLine="600" w:firstLineChars="200"/>
        <w:rPr>
          <w:rFonts w:ascii="仿宋" w:hAnsi="仿宋" w:eastAsia="仿宋"/>
          <w:sz w:val="30"/>
          <w:szCs w:val="30"/>
        </w:rPr>
      </w:pPr>
      <w:r>
        <w:rPr>
          <w:rFonts w:hint="eastAsia" w:ascii="仿宋" w:hAnsi="仿宋" w:eastAsia="仿宋"/>
          <w:sz w:val="30"/>
          <w:szCs w:val="30"/>
        </w:rPr>
        <w:t>四是打造鼓励干事创业的企业文化，激励全员树立干事创业的信心和激情，注重开展各方面培训，推进人才的可持续发展。</w:t>
      </w:r>
    </w:p>
    <w:p>
      <w:pPr>
        <w:rPr>
          <w:rFonts w:ascii="仿宋" w:hAnsi="仿宋" w:eastAsia="仿宋" w:cs="仿宋"/>
          <w:color w:val="FF0000"/>
          <w:sz w:val="30"/>
          <w:szCs w:val="30"/>
        </w:rPr>
      </w:pPr>
      <w:r>
        <w:rPr>
          <w:rFonts w:hint="eastAsia" w:ascii="仿宋" w:hAnsi="仿宋" w:eastAsia="仿宋" w:cs="仿宋"/>
          <w:b/>
          <w:color w:val="000000"/>
          <w:sz w:val="30"/>
          <w:szCs w:val="30"/>
        </w:rPr>
        <w:t>5.2.2. 员工数量、结构与流动比例</w:t>
      </w:r>
    </w:p>
    <w:p>
      <w:pPr>
        <w:ind w:firstLine="600" w:firstLineChars="200"/>
        <w:rPr>
          <w:rFonts w:ascii="仿宋" w:hAnsi="仿宋" w:eastAsia="仿宋"/>
          <w:sz w:val="30"/>
          <w:szCs w:val="30"/>
        </w:rPr>
      </w:pPr>
      <w:r>
        <w:rPr>
          <w:rFonts w:hint="eastAsia" w:ascii="仿宋" w:hAnsi="仿宋" w:eastAsia="仿宋"/>
          <w:sz w:val="30"/>
          <w:szCs w:val="30"/>
        </w:rPr>
        <w:t>海通期货成立以来，人才建设取得了长足的进步。公司人员队伍迅速壮大，截至2019年底，公司（含子公司）有员工707人，其中博士学历人员4人，研究生学历人员1</w:t>
      </w:r>
      <w:r>
        <w:rPr>
          <w:rFonts w:hint="eastAsia" w:ascii="仿宋" w:hAnsi="仿宋" w:eastAsia="仿宋"/>
          <w:sz w:val="30"/>
          <w:szCs w:val="30"/>
          <w:lang w:val="en-US" w:eastAsia="zh-CN"/>
        </w:rPr>
        <w:t>70</w:t>
      </w:r>
      <w:r>
        <w:rPr>
          <w:rFonts w:hint="eastAsia" w:ascii="仿宋" w:hAnsi="仿宋" w:eastAsia="仿宋"/>
          <w:sz w:val="30"/>
          <w:szCs w:val="30"/>
        </w:rPr>
        <w:t>人，本科学历人员4</w:t>
      </w:r>
      <w:r>
        <w:rPr>
          <w:rFonts w:hint="eastAsia" w:ascii="仿宋" w:hAnsi="仿宋" w:eastAsia="仿宋"/>
          <w:sz w:val="30"/>
          <w:szCs w:val="30"/>
          <w:lang w:val="en-US" w:eastAsia="zh-CN"/>
        </w:rPr>
        <w:t>60</w:t>
      </w:r>
      <w:r>
        <w:rPr>
          <w:rFonts w:hint="eastAsia" w:ascii="仿宋" w:hAnsi="仿宋" w:eastAsia="仿宋"/>
          <w:sz w:val="30"/>
          <w:szCs w:val="30"/>
        </w:rPr>
        <w:t xml:space="preserve">人。 </w:t>
      </w:r>
    </w:p>
    <w:p>
      <w:pPr>
        <w:rPr>
          <w:rFonts w:ascii="仿宋" w:hAnsi="仿宋" w:eastAsia="仿宋" w:cs="仿宋"/>
          <w:b/>
          <w:color w:val="000000"/>
          <w:sz w:val="30"/>
          <w:szCs w:val="30"/>
        </w:rPr>
      </w:pPr>
      <w:r>
        <w:rPr>
          <w:rFonts w:hint="eastAsia" w:ascii="仿宋" w:hAnsi="仿宋" w:eastAsia="仿宋" w:cs="仿宋"/>
          <w:b/>
          <w:color w:val="000000"/>
          <w:sz w:val="30"/>
          <w:szCs w:val="30"/>
        </w:rPr>
        <w:t>5.2.3. 员工与管理层关系</w:t>
      </w:r>
    </w:p>
    <w:p>
      <w:pPr>
        <w:ind w:firstLine="600" w:firstLineChars="200"/>
        <w:rPr>
          <w:rFonts w:ascii="仿宋" w:hAnsi="仿宋" w:eastAsia="仿宋"/>
          <w:sz w:val="30"/>
          <w:szCs w:val="30"/>
        </w:rPr>
      </w:pPr>
      <w:r>
        <w:rPr>
          <w:rFonts w:hint="eastAsia" w:ascii="仿宋" w:hAnsi="仿宋" w:eastAsia="仿宋"/>
          <w:sz w:val="30"/>
          <w:szCs w:val="30"/>
        </w:rPr>
        <w:t>公司在员工与管理层之间构建起高效、畅通、人性化的沟通交流机制与渠道，在公司OA管理系统中开设“党委信箱”、“总经理信箱”、“纪检监察信箱”，并设置党委开放日，员工对公司的意见或建议，都可通过开放日、信箱等途径进行反映；公司不断加强民主管理，完善工作流程和工作方式，保障公司高质量发展。此外，在公司的总经理办公会与办公例会上，各部门负责人及时沟通反馈员工意见，经讨论后决定付诸实施。</w:t>
      </w:r>
    </w:p>
    <w:p>
      <w:pPr>
        <w:rPr>
          <w:rFonts w:ascii="仿宋" w:hAnsi="仿宋" w:eastAsia="仿宋" w:cs="仿宋"/>
          <w:b/>
          <w:color w:val="000000"/>
          <w:sz w:val="30"/>
          <w:szCs w:val="30"/>
        </w:rPr>
      </w:pPr>
      <w:r>
        <w:rPr>
          <w:rFonts w:hint="eastAsia" w:ascii="仿宋" w:hAnsi="仿宋" w:eastAsia="仿宋" w:cs="仿宋"/>
          <w:b/>
          <w:color w:val="000000"/>
          <w:sz w:val="30"/>
          <w:szCs w:val="30"/>
        </w:rPr>
        <w:t>5.2.4. 职业健康与安全</w:t>
      </w:r>
    </w:p>
    <w:p>
      <w:pPr>
        <w:ind w:firstLine="600" w:firstLineChars="200"/>
        <w:rPr>
          <w:rFonts w:ascii="仿宋" w:hAnsi="仿宋" w:eastAsia="仿宋"/>
          <w:sz w:val="30"/>
          <w:szCs w:val="30"/>
        </w:rPr>
      </w:pPr>
      <w:r>
        <w:rPr>
          <w:rFonts w:hint="eastAsia" w:ascii="仿宋" w:hAnsi="仿宋" w:eastAsia="仿宋"/>
          <w:sz w:val="30"/>
          <w:szCs w:val="30"/>
        </w:rPr>
        <w:t>海通期货严格遵循</w:t>
      </w:r>
      <w:r>
        <w:rPr>
          <w:rFonts w:hint="eastAsia" w:ascii="仿宋" w:hAnsi="仿宋" w:eastAsia="仿宋"/>
          <w:sz w:val="30"/>
          <w:szCs w:val="30"/>
          <w:lang w:eastAsia="zh-CN"/>
        </w:rPr>
        <w:t>公司《员工手册》</w:t>
      </w:r>
      <w:r>
        <w:rPr>
          <w:rFonts w:hint="eastAsia" w:ascii="仿宋" w:hAnsi="仿宋" w:eastAsia="仿宋"/>
          <w:sz w:val="30"/>
          <w:szCs w:val="30"/>
        </w:rPr>
        <w:t>，关怀全体员工职业健康与安全。公司定期组织全体员工进行健康体检，针对体检结果中存在的疑问，特别举办健康知识讲座，邀请具有多年行医经验的嘉宾为员工答疑解惑，普及健康知识，提升员工身体素质，营造健康向上的工作环境。针对环境污染、高温天气，工会为员工发放口罩、防暑降温用品等防护物品，保障员工身体健康。工会组织员工参加上海市期货同业公会期货行业趣味运动会，总公司举办的家庭日活动、篮球联赛、足球联赛、羽毛球联赛、辩论赛等活动，带动员工进行健身运动。同时，为充分保障员工在职期间的福利待遇，公司建立了员工综合福利保险计划。</w:t>
      </w:r>
    </w:p>
    <w:p>
      <w:pPr>
        <w:rPr>
          <w:rFonts w:ascii="仿宋" w:hAnsi="仿宋" w:eastAsia="仿宋" w:cs="仿宋"/>
          <w:b/>
          <w:color w:val="000000"/>
          <w:sz w:val="30"/>
          <w:szCs w:val="30"/>
        </w:rPr>
      </w:pPr>
      <w:r>
        <w:rPr>
          <w:rFonts w:hint="eastAsia" w:ascii="仿宋" w:hAnsi="仿宋" w:eastAsia="仿宋" w:cs="仿宋"/>
          <w:b/>
          <w:color w:val="000000"/>
          <w:sz w:val="30"/>
          <w:szCs w:val="30"/>
        </w:rPr>
        <w:t>5.2.5. 员工的福利与社会保障</w:t>
      </w:r>
    </w:p>
    <w:p>
      <w:pPr>
        <w:ind w:firstLine="600" w:firstLineChars="200"/>
        <w:rPr>
          <w:rFonts w:ascii="仿宋" w:hAnsi="仿宋" w:eastAsia="仿宋"/>
          <w:sz w:val="30"/>
          <w:szCs w:val="30"/>
        </w:rPr>
      </w:pPr>
      <w:r>
        <w:rPr>
          <w:rFonts w:hint="eastAsia" w:ascii="仿宋" w:hAnsi="仿宋" w:eastAsia="仿宋"/>
          <w:sz w:val="30"/>
          <w:szCs w:val="30"/>
        </w:rPr>
        <w:t>海通期货建立了在金融行业中富有竞争力的激励性的薪酬福利体系，在薪酬待遇方面坚持“以价值贡献为导向，以业绩好坏论英雄”，以市场化机制指导设立岗位工资；在福利与社会保障方面，逐步建立起覆盖人才住房、用餐和交通补贴等方面的保障机制，吸引了越来越多行业人才的加入。</w:t>
      </w:r>
    </w:p>
    <w:p>
      <w:pPr>
        <w:rPr>
          <w:rFonts w:ascii="仿宋" w:hAnsi="仿宋" w:eastAsia="仿宋" w:cs="仿宋"/>
          <w:b/>
          <w:color w:val="000000"/>
          <w:sz w:val="30"/>
          <w:szCs w:val="30"/>
        </w:rPr>
      </w:pPr>
      <w:r>
        <w:rPr>
          <w:rFonts w:hint="eastAsia" w:ascii="仿宋" w:hAnsi="仿宋" w:eastAsia="仿宋" w:cs="仿宋"/>
          <w:b/>
          <w:color w:val="000000"/>
          <w:sz w:val="30"/>
          <w:szCs w:val="30"/>
        </w:rPr>
        <w:t>5.2.6. 培训与教育</w:t>
      </w:r>
    </w:p>
    <w:p>
      <w:pPr>
        <w:ind w:firstLine="600" w:firstLineChars="200"/>
        <w:rPr>
          <w:rFonts w:ascii="仿宋" w:hAnsi="仿宋" w:eastAsia="仿宋"/>
          <w:sz w:val="30"/>
          <w:szCs w:val="30"/>
        </w:rPr>
      </w:pPr>
      <w:r>
        <w:rPr>
          <w:rFonts w:hint="eastAsia" w:ascii="仿宋" w:hAnsi="仿宋" w:eastAsia="仿宋"/>
          <w:sz w:val="30"/>
          <w:szCs w:val="30"/>
        </w:rPr>
        <w:t>公司重视各类员工培训。一是认真组织员工参加公司内部培训，形成常态化的培训机制，包括新员工入职培训、专业知识培训、营销技巧培训等等；鼓励各部门、各工会小组自行开展新业务、新规则的学习培训；鼓励新入职员工认真学习</w:t>
      </w:r>
      <w:r>
        <w:rPr>
          <w:rFonts w:hint="eastAsia" w:ascii="仿宋" w:hAnsi="仿宋" w:eastAsia="仿宋"/>
          <w:sz w:val="30"/>
          <w:szCs w:val="30"/>
          <w:lang w:eastAsia="zh-CN"/>
        </w:rPr>
        <w:t>公司制度、岗位及</w:t>
      </w:r>
      <w:r>
        <w:rPr>
          <w:rFonts w:hint="eastAsia" w:ascii="仿宋" w:hAnsi="仿宋" w:eastAsia="仿宋"/>
          <w:sz w:val="30"/>
          <w:szCs w:val="30"/>
        </w:rPr>
        <w:t>行业基础知识，</w:t>
      </w:r>
      <w:r>
        <w:rPr>
          <w:rFonts w:hint="eastAsia" w:ascii="仿宋" w:hAnsi="仿宋" w:eastAsia="仿宋"/>
          <w:sz w:val="30"/>
          <w:szCs w:val="30"/>
          <w:lang w:eastAsia="zh-CN"/>
        </w:rPr>
        <w:t>适应企业文化，</w:t>
      </w:r>
      <w:r>
        <w:rPr>
          <w:rFonts w:hint="eastAsia" w:ascii="仿宋" w:hAnsi="仿宋" w:eastAsia="仿宋"/>
          <w:sz w:val="30"/>
          <w:szCs w:val="30"/>
        </w:rPr>
        <w:t>尽快融入工作，成为合格的“海通期货人”。鼓励员工加强学习，对通过香港从业资格、期货投资咨询资格等考试的员工，给予一定的奖励。二是积极</w:t>
      </w:r>
      <w:r>
        <w:rPr>
          <w:rFonts w:hint="eastAsia" w:ascii="仿宋" w:hAnsi="仿宋" w:eastAsia="仿宋"/>
          <w:sz w:val="30"/>
          <w:szCs w:val="30"/>
          <w:lang w:eastAsia="zh-CN"/>
        </w:rPr>
        <w:t>鼓励</w:t>
      </w:r>
      <w:r>
        <w:rPr>
          <w:rFonts w:hint="eastAsia" w:ascii="仿宋" w:hAnsi="仿宋" w:eastAsia="仿宋"/>
          <w:sz w:val="30"/>
          <w:szCs w:val="30"/>
        </w:rPr>
        <w:t>员工</w:t>
      </w:r>
      <w:r>
        <w:rPr>
          <w:rFonts w:hint="eastAsia" w:ascii="仿宋" w:hAnsi="仿宋" w:eastAsia="仿宋"/>
          <w:sz w:val="30"/>
          <w:szCs w:val="30"/>
          <w:lang w:eastAsia="zh-CN"/>
        </w:rPr>
        <w:t>参加</w:t>
      </w:r>
      <w:r>
        <w:rPr>
          <w:rFonts w:hint="eastAsia" w:ascii="仿宋" w:hAnsi="仿宋" w:eastAsia="仿宋"/>
          <w:sz w:val="30"/>
          <w:szCs w:val="30"/>
        </w:rPr>
        <w:t>外部培训，组织员工参加各期</w:t>
      </w:r>
      <w:bookmarkStart w:id="2" w:name="_GoBack"/>
      <w:bookmarkEnd w:id="2"/>
      <w:r>
        <w:rPr>
          <w:rFonts w:hint="eastAsia" w:ascii="仿宋" w:hAnsi="仿宋" w:eastAsia="仿宋"/>
          <w:sz w:val="30"/>
          <w:szCs w:val="30"/>
        </w:rPr>
        <w:t>货交易所、证券交易所、中期协等行业协会举办的专业培训，提升综合素质。三是组织开展“2019年公司</w:t>
      </w:r>
      <w:r>
        <w:rPr>
          <w:rFonts w:hint="eastAsia" w:ascii="仿宋" w:hAnsi="仿宋" w:eastAsia="仿宋"/>
          <w:sz w:val="30"/>
          <w:szCs w:val="30"/>
          <w:lang w:eastAsia="zh-CN"/>
        </w:rPr>
        <w:t>青年</w:t>
      </w:r>
      <w:r>
        <w:rPr>
          <w:rFonts w:hint="eastAsia" w:ascii="仿宋" w:hAnsi="仿宋" w:eastAsia="仿宋"/>
          <w:sz w:val="30"/>
          <w:szCs w:val="30"/>
        </w:rPr>
        <w:t xml:space="preserve">干部培训”，有效提升青年干部职业素养、管理能力及技能，为人才成长提供更加广阔的舞台和空间。四是为应对各种灾害、突发事件、意外事件、意外伤害，提高员工自救互救的意识、知识和基础技能，组织了多期基础救护培训。   </w:t>
      </w:r>
    </w:p>
    <w:p>
      <w:pPr>
        <w:ind w:firstLine="600" w:firstLineChars="200"/>
        <w:rPr>
          <w:rFonts w:ascii="仿宋" w:hAnsi="仿宋" w:eastAsia="仿宋"/>
          <w:sz w:val="30"/>
          <w:szCs w:val="30"/>
        </w:rPr>
      </w:pPr>
      <w:r>
        <w:rPr>
          <w:rFonts w:hint="eastAsia" w:ascii="仿宋" w:hAnsi="仿宋" w:eastAsia="仿宋"/>
          <w:sz w:val="30"/>
          <w:szCs w:val="30"/>
        </w:rPr>
        <w:t>2019年，为抢抓商品期权、股票期权等新业务新品种带来的发展机遇，公司针对全体员工组织开展多场内部</w:t>
      </w:r>
      <w:r>
        <w:rPr>
          <w:rFonts w:hint="eastAsia" w:ascii="仿宋" w:hAnsi="仿宋" w:eastAsia="仿宋"/>
          <w:sz w:val="30"/>
          <w:szCs w:val="30"/>
          <w:lang w:eastAsia="zh-CN"/>
        </w:rPr>
        <w:t>月度专题</w:t>
      </w:r>
      <w:r>
        <w:rPr>
          <w:rFonts w:hint="eastAsia" w:ascii="仿宋" w:hAnsi="仿宋" w:eastAsia="仿宋"/>
          <w:sz w:val="30"/>
          <w:szCs w:val="30"/>
        </w:rPr>
        <w:t>培训，培训内容涉及棉花期权、玉米期权、天然橡胶期权、红枣期货、股票期权、适当性制度、外盘基础知识等</w:t>
      </w:r>
      <w:r>
        <w:rPr>
          <w:rFonts w:hint="eastAsia" w:ascii="仿宋" w:hAnsi="仿宋" w:eastAsia="仿宋"/>
          <w:sz w:val="30"/>
          <w:szCs w:val="30"/>
          <w:lang w:eastAsia="zh-CN"/>
        </w:rPr>
        <w:t>。同时，围绕公司运营管理以及市场热点开展了包括交易所政策解读、合规反洗钱、工资薪金综合所得申报、铁矿石异动下焦煤焦炭补涨机会、中美贸易战市场影响分析等内容的专题培训。</w:t>
      </w:r>
      <w:r>
        <w:rPr>
          <w:rFonts w:hint="eastAsia" w:ascii="仿宋" w:hAnsi="仿宋" w:eastAsia="仿宋"/>
          <w:sz w:val="30"/>
          <w:szCs w:val="30"/>
        </w:rPr>
        <w:t>通过培训学习，有效提升了从业人员的知识储备，提高了服务能力。另外，并同时加强线上课程学习计划制定，微课录制，大力推广线上学习平台，进一步完善公司培训体系。</w:t>
      </w:r>
    </w:p>
    <w:p>
      <w:pPr>
        <w:rPr>
          <w:rFonts w:ascii="仿宋" w:hAnsi="仿宋" w:eastAsia="仿宋" w:cs="仿宋"/>
          <w:b/>
          <w:color w:val="000000"/>
          <w:sz w:val="30"/>
          <w:szCs w:val="30"/>
        </w:rPr>
      </w:pPr>
      <w:r>
        <w:rPr>
          <w:rFonts w:hint="eastAsia" w:ascii="仿宋" w:hAnsi="仿宋" w:eastAsia="仿宋" w:cs="仿宋"/>
          <w:b/>
          <w:color w:val="000000"/>
          <w:sz w:val="30"/>
          <w:szCs w:val="30"/>
        </w:rPr>
        <w:t>5.2.7. 员工对工作单位的满意度</w:t>
      </w:r>
    </w:p>
    <w:p>
      <w:pPr>
        <w:rPr>
          <w:rFonts w:ascii="仿宋" w:hAnsi="仿宋" w:eastAsia="仿宋"/>
          <w:sz w:val="30"/>
          <w:szCs w:val="30"/>
        </w:rPr>
      </w:pPr>
      <w:r>
        <w:rPr>
          <w:rFonts w:hint="eastAsia" w:ascii="仿宋_GB2312" w:eastAsia="仿宋_GB2312"/>
          <w:color w:val="000000"/>
          <w:sz w:val="30"/>
          <w:szCs w:val="30"/>
        </w:rPr>
        <w:t xml:space="preserve">   </w:t>
      </w:r>
      <w:r>
        <w:rPr>
          <w:rFonts w:hint="eastAsia" w:ascii="仿宋" w:hAnsi="仿宋" w:eastAsia="仿宋"/>
          <w:sz w:val="30"/>
          <w:szCs w:val="30"/>
        </w:rPr>
        <w:t xml:space="preserve"> 海通期货提倡全体员工参与企业管理与创新的积极性、自觉性和凝聚力，发扬主人翁精神，培养了员工对公司的忠诚度与归属感、对企业文化的认同度与执行力。公司春节期间为全体在编员工的父母寄出新年感谢信与新春慰问金，收到了员工与家属的多封感谢信。</w:t>
      </w:r>
    </w:p>
    <w:p>
      <w:pPr>
        <w:rPr>
          <w:rFonts w:ascii="仿宋" w:hAnsi="仿宋" w:eastAsia="仿宋" w:cs="仿宋"/>
          <w:b/>
          <w:color w:val="000000"/>
          <w:sz w:val="30"/>
          <w:szCs w:val="30"/>
        </w:rPr>
      </w:pPr>
      <w:r>
        <w:rPr>
          <w:rFonts w:hint="eastAsia" w:ascii="仿宋" w:hAnsi="仿宋" w:eastAsia="仿宋" w:cs="仿宋"/>
          <w:b/>
          <w:color w:val="000000"/>
          <w:sz w:val="30"/>
          <w:szCs w:val="30"/>
        </w:rPr>
        <w:t>5.3. 员工权利</w:t>
      </w:r>
    </w:p>
    <w:p>
      <w:pPr>
        <w:rPr>
          <w:rFonts w:ascii="仿宋" w:hAnsi="仿宋" w:eastAsia="仿宋" w:cs="仿宋"/>
          <w:b/>
          <w:color w:val="000000"/>
          <w:sz w:val="30"/>
          <w:szCs w:val="30"/>
        </w:rPr>
      </w:pPr>
      <w:r>
        <w:rPr>
          <w:rFonts w:hint="eastAsia" w:ascii="仿宋" w:hAnsi="仿宋" w:eastAsia="仿宋" w:cs="仿宋"/>
          <w:b/>
          <w:color w:val="000000"/>
          <w:sz w:val="30"/>
          <w:szCs w:val="30"/>
        </w:rPr>
        <w:t>5.3.1. 工会组织现状及作用</w:t>
      </w:r>
    </w:p>
    <w:p>
      <w:pPr>
        <w:ind w:firstLine="600" w:firstLineChars="200"/>
        <w:rPr>
          <w:rFonts w:ascii="仿宋" w:hAnsi="仿宋" w:eastAsia="仿宋"/>
          <w:sz w:val="30"/>
          <w:szCs w:val="30"/>
        </w:rPr>
      </w:pPr>
      <w:r>
        <w:rPr>
          <w:rFonts w:hint="eastAsia" w:ascii="仿宋" w:hAnsi="仿宋" w:eastAsia="仿宋"/>
          <w:sz w:val="30"/>
          <w:szCs w:val="30"/>
        </w:rPr>
        <w:t>海通期货股份有限公司工会于2010年1月30日成立，在员工权益与福利的保障与落实、公司内部活动的开展、社会活动的参与等方面都发挥了积极作用。</w:t>
      </w:r>
    </w:p>
    <w:p>
      <w:pPr>
        <w:ind w:firstLine="600" w:firstLineChars="200"/>
        <w:rPr>
          <w:rFonts w:ascii="仿宋" w:hAnsi="仿宋" w:eastAsia="仿宋"/>
          <w:sz w:val="30"/>
          <w:szCs w:val="30"/>
        </w:rPr>
      </w:pPr>
      <w:r>
        <w:rPr>
          <w:rFonts w:hint="eastAsia" w:ascii="仿宋" w:hAnsi="仿宋" w:eastAsia="仿宋"/>
          <w:sz w:val="30"/>
          <w:szCs w:val="30"/>
        </w:rPr>
        <w:t>过去的一年，工会围绕着公司经营管理的大局，积极协助公司党委，加强全员学习，致力于为公司打造一支责任意识强、职业水平高、具有奉献精神的员工团队。组织参与市金融系统立功竞赛活动、组织开展“百问百答”知识竞赛，奖励在各项活动中获得优异表现的职工，切实提升员工专业水平和综合能力。</w:t>
      </w:r>
    </w:p>
    <w:p>
      <w:pPr>
        <w:ind w:firstLine="600" w:firstLineChars="200"/>
        <w:rPr>
          <w:rFonts w:ascii="仿宋" w:hAnsi="仿宋" w:eastAsia="仿宋"/>
          <w:sz w:val="30"/>
          <w:szCs w:val="30"/>
        </w:rPr>
      </w:pPr>
      <w:r>
        <w:rPr>
          <w:rFonts w:hint="eastAsia" w:ascii="仿宋" w:hAnsi="仿宋" w:eastAsia="仿宋"/>
          <w:sz w:val="30"/>
          <w:szCs w:val="30"/>
        </w:rPr>
        <w:t>工会在公司党委的领导下，积极搭建员工文化生活平台， 通过在全公司范围内积极组织开展业务竞赛、征文活动、企业文化艺术节、合理化建议征集及各类体育活动，不断提高企业凝聚力、提升员工归属感，增强企业竞争力，塑造富有特色的企业文化，丰富了员工的精神文化生活，增强了员工凝聚力和归属感。</w:t>
      </w:r>
    </w:p>
    <w:p>
      <w:pPr>
        <w:rPr>
          <w:rFonts w:ascii="仿宋" w:hAnsi="仿宋" w:eastAsia="仿宋" w:cs="仿宋"/>
          <w:b/>
          <w:color w:val="000000"/>
          <w:sz w:val="30"/>
          <w:szCs w:val="30"/>
        </w:rPr>
      </w:pPr>
      <w:r>
        <w:rPr>
          <w:rFonts w:hint="eastAsia" w:ascii="仿宋" w:hAnsi="仿宋" w:eastAsia="仿宋" w:cs="仿宋"/>
          <w:b/>
          <w:color w:val="000000"/>
          <w:sz w:val="30"/>
          <w:szCs w:val="30"/>
        </w:rPr>
        <w:t>5.3.2. 员工权利的保障</w:t>
      </w:r>
    </w:p>
    <w:p>
      <w:pPr>
        <w:ind w:firstLine="600" w:firstLineChars="200"/>
        <w:rPr>
          <w:rFonts w:ascii="仿宋" w:hAnsi="仿宋" w:eastAsia="仿宋"/>
          <w:sz w:val="30"/>
          <w:szCs w:val="30"/>
        </w:rPr>
      </w:pPr>
      <w:r>
        <w:rPr>
          <w:rFonts w:hint="eastAsia" w:ascii="仿宋" w:hAnsi="仿宋" w:eastAsia="仿宋"/>
          <w:sz w:val="30"/>
          <w:szCs w:val="30"/>
        </w:rPr>
        <w:t>海通期货的发展要依靠员工，发展的成果要惠及员工。公司坚持以人为本，切实保障员工的各项合法权益；充分发挥广大员工的主人翁作用，积极实现企业与员工、员工与社会的和谐发展。</w:t>
      </w:r>
    </w:p>
    <w:p>
      <w:pPr>
        <w:rPr>
          <w:rFonts w:ascii="仿宋" w:hAnsi="仿宋" w:eastAsia="仿宋" w:cs="仿宋"/>
          <w:b/>
          <w:color w:val="000000"/>
          <w:sz w:val="30"/>
          <w:szCs w:val="30"/>
        </w:rPr>
      </w:pPr>
      <w:r>
        <w:rPr>
          <w:rFonts w:hint="eastAsia" w:ascii="仿宋" w:hAnsi="仿宋" w:eastAsia="仿宋" w:cs="仿宋"/>
          <w:b/>
          <w:color w:val="000000"/>
          <w:sz w:val="30"/>
          <w:szCs w:val="30"/>
        </w:rPr>
        <w:t>5.4. 社会影响</w:t>
      </w:r>
    </w:p>
    <w:p>
      <w:pPr>
        <w:rPr>
          <w:rFonts w:ascii="仿宋" w:hAnsi="仿宋" w:eastAsia="仿宋" w:cs="仿宋"/>
          <w:b/>
          <w:color w:val="000000"/>
          <w:sz w:val="30"/>
          <w:szCs w:val="30"/>
        </w:rPr>
      </w:pPr>
      <w:r>
        <w:rPr>
          <w:rFonts w:hint="eastAsia" w:ascii="仿宋" w:hAnsi="仿宋" w:eastAsia="仿宋" w:cs="仿宋"/>
          <w:b/>
          <w:color w:val="000000"/>
          <w:sz w:val="30"/>
          <w:szCs w:val="30"/>
        </w:rPr>
        <w:t>5.4.1. 与社区的沟通以及为社区所做贡献</w:t>
      </w:r>
    </w:p>
    <w:p>
      <w:pPr>
        <w:ind w:firstLine="600" w:firstLineChars="200"/>
        <w:rPr>
          <w:rFonts w:ascii="仿宋" w:hAnsi="仿宋" w:eastAsia="仿宋"/>
          <w:sz w:val="30"/>
          <w:szCs w:val="30"/>
        </w:rPr>
      </w:pPr>
      <w:r>
        <w:rPr>
          <w:rFonts w:hint="eastAsia" w:ascii="仿宋" w:hAnsi="仿宋" w:eastAsia="仿宋"/>
          <w:sz w:val="30"/>
          <w:szCs w:val="30"/>
        </w:rPr>
        <w:t>海通期货与社区建立起长期而深入的合作与服务关系，以各营业部为中心，深入社区开展“期民学校”等投资者教育活动，将社区培训办成品牌，对投资者教育的广泛、有效开展起到积极促进作用。</w:t>
      </w:r>
    </w:p>
    <w:p>
      <w:pPr>
        <w:rPr>
          <w:rFonts w:ascii="仿宋" w:hAnsi="仿宋" w:eastAsia="仿宋" w:cs="仿宋"/>
          <w:b/>
          <w:color w:val="000000"/>
          <w:sz w:val="30"/>
          <w:szCs w:val="30"/>
        </w:rPr>
      </w:pPr>
      <w:r>
        <w:rPr>
          <w:rFonts w:hint="eastAsia" w:ascii="仿宋" w:hAnsi="仿宋" w:eastAsia="仿宋" w:cs="仿宋"/>
          <w:b/>
          <w:color w:val="000000"/>
          <w:sz w:val="30"/>
          <w:szCs w:val="30"/>
        </w:rPr>
        <w:t>5.4.2良好的商业道德与职业操守</w:t>
      </w:r>
    </w:p>
    <w:p>
      <w:pPr>
        <w:ind w:firstLine="600" w:firstLineChars="200"/>
        <w:rPr>
          <w:rFonts w:ascii="仿宋" w:hAnsi="仿宋" w:eastAsia="仿宋"/>
          <w:sz w:val="30"/>
          <w:szCs w:val="30"/>
        </w:rPr>
      </w:pPr>
      <w:r>
        <w:rPr>
          <w:rFonts w:hint="eastAsia" w:ascii="仿宋" w:hAnsi="仿宋" w:eastAsia="仿宋"/>
          <w:sz w:val="30"/>
          <w:szCs w:val="30"/>
        </w:rPr>
        <w:t>期货市场服务产业经济和国民经济，既是监管部门对我们的要求，也是海通期货长期努力的方向。在行业面临重大发展机遇时，我们需要强化战略思考能力，需要提升全面服务能力，需要巩固风险管理意识。</w:t>
      </w:r>
    </w:p>
    <w:p>
      <w:pPr>
        <w:ind w:firstLine="600" w:firstLineChars="200"/>
        <w:rPr>
          <w:rFonts w:ascii="仿宋" w:hAnsi="仿宋" w:eastAsia="仿宋"/>
          <w:sz w:val="30"/>
          <w:szCs w:val="30"/>
        </w:rPr>
      </w:pPr>
      <w:r>
        <w:rPr>
          <w:rFonts w:hint="eastAsia" w:ascii="仿宋" w:hAnsi="仿宋" w:eastAsia="仿宋"/>
          <w:sz w:val="30"/>
          <w:szCs w:val="30"/>
        </w:rPr>
        <w:t>公司坚持“以客户为中心”的服务理念，全面落实投资者适当性管理相关要求，充分了解投资者信息，审慎对投资者进行适当性评估，做好风险警示与揭示工作，充分体现“将适当的产品或服务提供给合适的投资者”的原则。</w:t>
      </w:r>
    </w:p>
    <w:p>
      <w:pPr>
        <w:rPr>
          <w:rFonts w:ascii="仿宋" w:hAnsi="仿宋" w:eastAsia="仿宋" w:cs="仿宋"/>
          <w:b/>
          <w:color w:val="000000"/>
          <w:sz w:val="30"/>
          <w:szCs w:val="30"/>
        </w:rPr>
      </w:pPr>
      <w:r>
        <w:rPr>
          <w:rFonts w:hint="eastAsia" w:ascii="仿宋" w:hAnsi="仿宋" w:eastAsia="仿宋" w:cs="仿宋"/>
          <w:b/>
          <w:color w:val="000000"/>
          <w:sz w:val="30"/>
          <w:szCs w:val="30"/>
        </w:rPr>
        <w:t>5.4.3 公益及慈善事业</w:t>
      </w:r>
    </w:p>
    <w:p>
      <w:pPr>
        <w:ind w:firstLine="600" w:firstLineChars="200"/>
        <w:rPr>
          <w:rFonts w:ascii="仿宋" w:hAnsi="仿宋" w:eastAsia="仿宋"/>
          <w:sz w:val="30"/>
          <w:szCs w:val="30"/>
        </w:rPr>
      </w:pPr>
      <w:r>
        <w:rPr>
          <w:rFonts w:hint="eastAsia" w:ascii="仿宋" w:hAnsi="仿宋" w:eastAsia="仿宋"/>
          <w:sz w:val="30"/>
          <w:szCs w:val="30"/>
        </w:rPr>
        <w:t>在慈善公益方面，持续关爱社区失独老人，获得2018-2019年浦东新区慈善公益奖，并获推参评“中华慈善奖”。</w:t>
      </w:r>
    </w:p>
    <w:p>
      <w:pPr>
        <w:rPr>
          <w:rFonts w:ascii="仿宋" w:hAnsi="仿宋" w:eastAsia="仿宋" w:cs="仿宋"/>
          <w:b/>
          <w:color w:val="000000"/>
          <w:sz w:val="30"/>
          <w:szCs w:val="30"/>
        </w:rPr>
      </w:pPr>
      <w:r>
        <w:rPr>
          <w:rFonts w:hint="eastAsia" w:ascii="仿宋" w:hAnsi="仿宋" w:eastAsia="仿宋" w:cs="仿宋"/>
          <w:b/>
          <w:color w:val="000000"/>
          <w:sz w:val="30"/>
          <w:szCs w:val="30"/>
        </w:rPr>
        <w:t>6. 环境责任与业绩</w:t>
      </w:r>
    </w:p>
    <w:p>
      <w:pPr>
        <w:rPr>
          <w:rFonts w:ascii="仿宋" w:hAnsi="仿宋" w:eastAsia="仿宋" w:cs="仿宋"/>
          <w:b/>
          <w:color w:val="000000"/>
          <w:sz w:val="30"/>
          <w:szCs w:val="30"/>
        </w:rPr>
      </w:pPr>
      <w:r>
        <w:rPr>
          <w:rFonts w:hint="eastAsia" w:ascii="仿宋" w:hAnsi="仿宋" w:eastAsia="仿宋" w:cs="仿宋"/>
          <w:b/>
          <w:color w:val="000000"/>
          <w:sz w:val="30"/>
          <w:szCs w:val="30"/>
        </w:rPr>
        <w:t>6.1.公司对于环境责任的理解</w:t>
      </w:r>
    </w:p>
    <w:p>
      <w:pPr>
        <w:ind w:firstLine="600" w:firstLineChars="200"/>
        <w:rPr>
          <w:rFonts w:ascii="仿宋" w:hAnsi="仿宋" w:eastAsia="仿宋"/>
          <w:sz w:val="30"/>
          <w:szCs w:val="30"/>
        </w:rPr>
      </w:pPr>
      <w:r>
        <w:rPr>
          <w:rFonts w:hint="eastAsia" w:ascii="仿宋" w:hAnsi="仿宋" w:eastAsia="仿宋"/>
          <w:sz w:val="30"/>
          <w:szCs w:val="30"/>
        </w:rPr>
        <w:t>恪守环境责任承诺，海通期货落实多项环境保护措施：一是加强资源的可持续利用，为保护生态环境，减少有害物质排放做贡献；二是以安全且负责任的方式处理废物；三是降低风险，使用安全的技术、设施和操作程序，提供安全的产品和服务，并对监管部门的环保政策承担完全责任。</w:t>
      </w:r>
    </w:p>
    <w:p>
      <w:pPr>
        <w:rPr>
          <w:rFonts w:ascii="仿宋" w:hAnsi="仿宋" w:eastAsia="仿宋" w:cs="仿宋"/>
          <w:b/>
          <w:color w:val="000000"/>
          <w:sz w:val="30"/>
          <w:szCs w:val="30"/>
        </w:rPr>
      </w:pPr>
      <w:r>
        <w:rPr>
          <w:rFonts w:hint="eastAsia" w:ascii="仿宋" w:hAnsi="仿宋" w:eastAsia="仿宋" w:cs="仿宋"/>
          <w:b/>
          <w:color w:val="000000"/>
          <w:sz w:val="30"/>
          <w:szCs w:val="30"/>
        </w:rPr>
        <w:t>6.2.公司的环境措施</w:t>
      </w:r>
    </w:p>
    <w:p>
      <w:pPr>
        <w:ind w:firstLine="600" w:firstLineChars="200"/>
        <w:rPr>
          <w:rFonts w:ascii="仿宋" w:hAnsi="仿宋" w:eastAsia="仿宋"/>
          <w:sz w:val="30"/>
          <w:szCs w:val="30"/>
        </w:rPr>
      </w:pPr>
      <w:r>
        <w:rPr>
          <w:rFonts w:hint="eastAsia" w:ascii="仿宋" w:hAnsi="仿宋" w:eastAsia="仿宋"/>
          <w:sz w:val="30"/>
          <w:szCs w:val="30"/>
        </w:rPr>
        <w:t>作为业内综合实力排名靠前的期货公司，助推循环经济、走绿色发展道路，海通期货责无旁贷。公司根据《海通期货股份有限公司固定资产管理办法》，制定办公用品节能环保与回收利用计划，落实办公用品回收利用宣传，加大回收利用力度强化节约职能，在节约使用办公用品、办公纸循环利用、提升再生纸利用率、废旧电脑及各种办公用品耗材回收利用等方面均取得良好的成效。</w:t>
      </w:r>
    </w:p>
    <w:p>
      <w:pPr>
        <w:ind w:firstLine="600" w:firstLineChars="200"/>
        <w:rPr>
          <w:rFonts w:ascii="仿宋" w:hAnsi="仿宋" w:eastAsia="仿宋"/>
          <w:sz w:val="30"/>
          <w:szCs w:val="30"/>
        </w:rPr>
      </w:pPr>
      <w:r>
        <w:rPr>
          <w:rFonts w:hint="eastAsia" w:ascii="仿宋" w:hAnsi="仿宋" w:eastAsia="仿宋"/>
          <w:sz w:val="30"/>
          <w:szCs w:val="30"/>
        </w:rPr>
        <w:t>公司合理限定冬夏两季空调温度，下班后关闭饮水机、电脑、复印机等设备电源，自觉做到人走灯灭，加强公务用车管理，从而在节能减排方面尽自身一份责任。</w:t>
      </w:r>
    </w:p>
    <w:p>
      <w:pPr>
        <w:ind w:firstLine="600" w:firstLineChars="200"/>
        <w:rPr>
          <w:rFonts w:ascii="仿宋" w:hAnsi="仿宋" w:eastAsia="仿宋"/>
          <w:sz w:val="30"/>
          <w:szCs w:val="30"/>
        </w:rPr>
      </w:pPr>
      <w:r>
        <w:rPr>
          <w:rFonts w:hint="eastAsia" w:ascii="仿宋" w:hAnsi="仿宋" w:eastAsia="仿宋"/>
          <w:sz w:val="30"/>
          <w:szCs w:val="30"/>
        </w:rPr>
        <w:t>公司积极倡导“绿色办公”的理念，建立并尽量使用办公自动化系统和视频会议系统，公司管理层率先践行，使用PAD等电子设备召开党委会、总经理办公会等各类会议，减少会议资料纸张使用，“绿色办公”不仅为日常办公、会议和培训提供了便利，同时节约了资源，保护了环境，公司也节约了办公开支，减少了经营成本，实现了公司与社会的双赢。</w:t>
      </w:r>
    </w:p>
    <w:p>
      <w:pPr>
        <w:ind w:firstLine="600" w:firstLineChars="200"/>
        <w:rPr>
          <w:rFonts w:ascii="仿宋" w:hAnsi="仿宋" w:eastAsia="仿宋"/>
          <w:sz w:val="30"/>
          <w:szCs w:val="30"/>
        </w:rPr>
      </w:pPr>
      <w:r>
        <w:rPr>
          <w:rFonts w:hint="eastAsia" w:ascii="仿宋" w:hAnsi="仿宋" w:eastAsia="仿宋"/>
          <w:sz w:val="30"/>
          <w:szCs w:val="30"/>
        </w:rPr>
        <w:t>2020年我们要坚持稳中求进，迎难而上，全力全面抓好业务发展。以政治建设为统领，巩固深化“不忘初心、牢记使命”主题教育成果，坚持以服务实体经济为根本宗旨，在实现自身发展的同时积极履行社会责任，践行企业公民理念，以党建引领业务发展，稳步推进公司实现成为国内一流金融衍生品综合服务商的发展目标！</w:t>
      </w:r>
    </w:p>
    <w:p>
      <w:pPr>
        <w:rPr>
          <w:rFonts w:ascii="仿宋" w:hAnsi="仿宋" w:eastAsia="仿宋" w:cs="仿宋"/>
          <w:b/>
          <w:color w:val="000000"/>
          <w:sz w:val="30"/>
          <w:szCs w:val="30"/>
        </w:rPr>
      </w:pPr>
      <w:r>
        <w:rPr>
          <w:rFonts w:hint="eastAsia" w:ascii="仿宋" w:hAnsi="仿宋" w:eastAsia="仿宋" w:cs="仿宋"/>
          <w:b/>
          <w:color w:val="000000"/>
          <w:sz w:val="30"/>
          <w:szCs w:val="30"/>
        </w:rPr>
        <w:t>7. 附录</w:t>
      </w:r>
    </w:p>
    <w:p>
      <w:pPr>
        <w:rPr>
          <w:rFonts w:ascii="仿宋" w:hAnsi="仿宋" w:eastAsia="仿宋"/>
          <w:sz w:val="30"/>
          <w:szCs w:val="30"/>
        </w:rPr>
      </w:pPr>
      <w:r>
        <w:rPr>
          <w:rFonts w:hint="eastAsia" w:ascii="仿宋" w:hAnsi="仿宋" w:eastAsia="仿宋"/>
          <w:sz w:val="30"/>
          <w:szCs w:val="30"/>
        </w:rPr>
        <w:t>反映经济、社会和环境责任与业绩的统计资料或表格</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tbl>
      <w:tblPr>
        <w:tblStyle w:val="10"/>
        <w:tblW w:w="8263" w:type="dxa"/>
        <w:tblInd w:w="0" w:type="dxa"/>
        <w:tblLayout w:type="fixed"/>
        <w:tblCellMar>
          <w:top w:w="15" w:type="dxa"/>
          <w:left w:w="15" w:type="dxa"/>
          <w:bottom w:w="15" w:type="dxa"/>
          <w:right w:w="15" w:type="dxa"/>
        </w:tblCellMar>
      </w:tblPr>
      <w:tblGrid>
        <w:gridCol w:w="584"/>
        <w:gridCol w:w="1905"/>
        <w:gridCol w:w="3300"/>
        <w:gridCol w:w="2474"/>
      </w:tblGrid>
      <w:tr>
        <w:tblPrEx>
          <w:tblLayout w:type="fixed"/>
          <w:tblCellMar>
            <w:top w:w="15" w:type="dxa"/>
            <w:left w:w="15" w:type="dxa"/>
            <w:bottom w:w="15" w:type="dxa"/>
            <w:right w:w="15" w:type="dxa"/>
          </w:tblCellMar>
        </w:tblPrEx>
        <w:trPr>
          <w:trHeight w:val="600" w:hRule="atLeast"/>
        </w:trPr>
        <w:tc>
          <w:tcPr>
            <w:tcW w:w="8263" w:type="dxa"/>
            <w:gridSpan w:val="4"/>
            <w:tcBorders>
              <w:top w:val="single" w:color="000000" w:sz="12" w:space="0"/>
              <w:left w:val="single" w:color="000000" w:sz="12" w:space="0"/>
              <w:bottom w:val="single" w:color="000000" w:sz="4" w:space="0"/>
              <w:right w:val="single" w:color="000000" w:sz="12" w:space="0"/>
            </w:tcBorders>
            <w:shd w:val="clear" w:color="auto" w:fill="auto"/>
            <w:vAlign w:val="center"/>
          </w:tcPr>
          <w:p>
            <w:pPr>
              <w:widowControl/>
              <w:jc w:val="center"/>
              <w:textAlignment w:val="center"/>
              <w:rPr>
                <w:rFonts w:ascii="黑体" w:hAnsi="宋体" w:eastAsia="黑体" w:cs="黑体"/>
                <w:b/>
                <w:color w:val="000000"/>
                <w:sz w:val="32"/>
                <w:szCs w:val="32"/>
              </w:rPr>
            </w:pPr>
            <w:r>
              <w:rPr>
                <w:rFonts w:hint="eastAsia" w:ascii="黑体" w:hAnsi="宋体" w:eastAsia="黑体" w:cs="黑体"/>
                <w:b/>
                <w:color w:val="000000"/>
                <w:kern w:val="0"/>
                <w:sz w:val="32"/>
                <w:szCs w:val="32"/>
                <w:lang w:bidi="ar"/>
              </w:rPr>
              <w:t>海通期货2019年获奖情况</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评奖机构</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获奖名称</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获奖类别</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期货日报、证券时报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中国期货公司年度最佳掌舵人</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吴红松</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最佳诚信自律期货公司</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最佳商品期货产业服务奖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最佳精准扶贫突出贡献奖</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中国期货公司金牌管理团队</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最佳企业品牌建设奖</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最受欢迎的期货经营机构公众号</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8</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年度最佳投资者教育工作奖</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9</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最佳风险管理子公司服务奖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上海海通资源管理有限公司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10</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最佳期货IT系统建设奖</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11</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最佳衍生品综合服务创新奖</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12</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最佳中国期货经营分支机构</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沈阳营业部、上海自贸试验区营业部</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13</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最佳金融期货分析师</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艾若曦</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最佳工业品期货分析师</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杨安</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15</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最佳农副产品期货分析师</w:t>
            </w:r>
          </w:p>
        </w:tc>
        <w:tc>
          <w:tcPr>
            <w:tcW w:w="2474"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马文明</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16</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大商所、上海市期货同业公会</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2019年“期乐杯”玉米期权知识竞赛优秀组织单位</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17</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2019年“期乐杯”玉米期权知识竞赛团队二等奖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18</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海通证券</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集团党建工作优秀品牌“精准滴灌工作法”</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党委</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19</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先进职工之家</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工会</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20</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先进职工小家</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上海分公司工会</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21</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优秀工会干部</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个人：王爱民、赵冬云</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22</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工会积极分子</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个人：黄惠迪、邱辉、池洁明、姚璟、侯磊</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23</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上海市金融工会工作委员会（18年度）</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立功竞赛建功奖-个人</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卢丹</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立功竞赛-优秀组织奖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25</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立功竞赛-建功奖-期权服务队</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期权部</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26</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立功竞赛-建功奖-国金队</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国际与金融事业部</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27</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立功竞赛-技能提升奖-个人</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蔡婷婷</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上海市浦东新区人民政府</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2018年度浦东新区经济突出贡献奖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潍坊新村街道</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2018年度潍坊新村街道“慈善之星”</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81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黑龙江省期货业协会</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“2018年黑龙江辖区投资者教育产品征集评选活动”优秀产品奖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哈尔滨营业部</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31</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上期所</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优秀会员金奖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32</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钢材产业服务奖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33</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铜产业服务奖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铝产业服务奖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35</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铅锌产业服务奖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36</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镍产业服务奖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37</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锡产业服务奖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38</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黄金产业服务奖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39</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白银产业服务奖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40</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天然橡胶产业服务奖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41</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能化产业服务奖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42</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不锈钢产业服务奖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43</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纸浆产业服务奖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期权产业服务奖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上海国际能源交易中心</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2018年度优秀会员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46</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大连商品交易所</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优秀会员金奖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47</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优秀机构服务奖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48</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优秀农产品服务奖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49</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优秀化工产品服务奖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50</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优秀黑色产品服务奖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51</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优秀技术支持奖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52</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优秀期权市场培育奖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53</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优秀期权做市商</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子公司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优秀国际市场服务奖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55</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郑商所</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优秀会员奖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56</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产业服务优秀会员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57</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优秀风险管理子公司</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子公司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58</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 xml:space="preserve">人才培育优秀会员 </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59</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棉系品种服务优秀会员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60</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菜系品种服务优秀会员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61</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苹果品种服务优秀会员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62</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白糖品种服务优秀会员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63</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PTA品种服务优秀会员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甲醇品种服务优秀会员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65</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玻璃品种服务优秀会员</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66</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棉系品种服务优秀营业部郑州期货大厦营业部</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郑州期货大厦营业部</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67</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菜系品种服务优秀营业部常州营业部</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常州营业部</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68</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白糖品种服务优秀营业部南宁营业部</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南宁营业部</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69</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PTA品种服务优秀营业部机构业务部</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机构业务部</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70</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甲醇、苹果品种服务优秀营业部国际与金融事业部</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国际与金融事业部</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71</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玻璃品种服务优秀营业部上海番禺路营业部</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上海番禺路营业部</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72</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中金所</w:t>
            </w: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优秀会员白金奖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540"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73</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产品拓展奖（股指期货类、国债期货类、股指期权类）</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74</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优秀投教奖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75</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业务创新奖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286" w:hRule="atLeast"/>
        </w:trPr>
        <w:tc>
          <w:tcPr>
            <w:tcW w:w="584"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76</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2"/>
                <w:szCs w:val="22"/>
              </w:rPr>
            </w:pPr>
          </w:p>
        </w:tc>
        <w:tc>
          <w:tcPr>
            <w:tcW w:w="3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技术管理奖</w:t>
            </w:r>
          </w:p>
        </w:tc>
        <w:tc>
          <w:tcPr>
            <w:tcW w:w="2474"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r>
        <w:tblPrEx>
          <w:tblLayout w:type="fixed"/>
          <w:tblCellMar>
            <w:top w:w="15" w:type="dxa"/>
            <w:left w:w="15" w:type="dxa"/>
            <w:bottom w:w="15" w:type="dxa"/>
            <w:right w:w="15" w:type="dxa"/>
          </w:tblCellMar>
        </w:tblPrEx>
        <w:trPr>
          <w:trHeight w:val="825" w:hRule="atLeast"/>
        </w:trPr>
        <w:tc>
          <w:tcPr>
            <w:tcW w:w="584"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77</w:t>
            </w:r>
          </w:p>
        </w:tc>
        <w:tc>
          <w:tcPr>
            <w:tcW w:w="190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上海市经济和信息化发展研究中心</w:t>
            </w:r>
          </w:p>
        </w:tc>
        <w:tc>
          <w:tcPr>
            <w:tcW w:w="3300"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《上海信息化》理事会理事单位</w:t>
            </w:r>
          </w:p>
        </w:tc>
        <w:tc>
          <w:tcPr>
            <w:tcW w:w="2474"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公司</w:t>
            </w:r>
          </w:p>
        </w:tc>
      </w:tr>
    </w:tbl>
    <w:p>
      <w:pPr>
        <w:rPr>
          <w:rFonts w:ascii="仿宋" w:hAnsi="仿宋" w:eastAsia="仿宋"/>
          <w:sz w:val="30"/>
          <w:szCs w:val="30"/>
        </w:rPr>
      </w:pPr>
    </w:p>
    <w:p>
      <w:pPr>
        <w:rPr>
          <w:color w:val="000000"/>
        </w:rPr>
      </w:pPr>
      <w:r>
        <w:rPr>
          <w:color w:val="000000"/>
        </w:rPr>
        <w:drawing>
          <wp:anchor distT="0" distB="0" distL="114300" distR="114300" simplePos="0" relativeHeight="251661312" behindDoc="0" locked="0" layoutInCell="1" allowOverlap="1">
            <wp:simplePos x="0" y="0"/>
            <wp:positionH relativeFrom="column">
              <wp:posOffset>-1133475</wp:posOffset>
            </wp:positionH>
            <wp:positionV relativeFrom="paragraph">
              <wp:posOffset>1905</wp:posOffset>
            </wp:positionV>
            <wp:extent cx="7581265" cy="8710295"/>
            <wp:effectExtent l="0" t="0" r="635" b="0"/>
            <wp:wrapThrough wrapText="bothSides">
              <wp:wrapPolygon>
                <wp:start x="0" y="0"/>
                <wp:lineTo x="0" y="21542"/>
                <wp:lineTo x="21548" y="21542"/>
                <wp:lineTo x="21548" y="0"/>
                <wp:lineTo x="0" y="0"/>
              </wp:wrapPolygon>
            </wp:wrapThrough>
            <wp:docPr id="6" name="图片 6" descr="C:\Users\Administrator\Desktop\社会责任报告\后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社会责任报告\后封面.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81265" cy="8710295"/>
                    </a:xfrm>
                    <a:prstGeom prst="rect">
                      <a:avLst/>
                    </a:prstGeom>
                    <a:noFill/>
                    <a:ln>
                      <a:noFill/>
                    </a:ln>
                  </pic:spPr>
                </pic:pic>
              </a:graphicData>
            </a:graphic>
          </wp:anchor>
        </w:drawing>
      </w:r>
    </w:p>
    <w:sectPr>
      <w:footerReference r:id="rId3" w:type="default"/>
      <w:footerReference r:id="rId4" w:type="even"/>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Meiryo">
    <w:panose1 w:val="020B0604030504040204"/>
    <w:charset w:val="80"/>
    <w:family w:val="swiss"/>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520904"/>
    </w:sdtPr>
    <w:sdtContent>
      <w:p>
        <w:pPr>
          <w:pStyle w:val="5"/>
          <w:jc w:val="right"/>
        </w:pPr>
        <w:r>
          <w:fldChar w:fldCharType="begin"/>
        </w:r>
        <w:r>
          <w:instrText xml:space="preserve">PAGE   \* MERGEFORMAT</w:instrText>
        </w:r>
        <w:r>
          <w:fldChar w:fldCharType="separate"/>
        </w:r>
        <w:r>
          <w:rPr>
            <w:lang w:val="zh-CN"/>
          </w:rPr>
          <w:t>10</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F7E2A"/>
    <w:multiLevelType w:val="multilevel"/>
    <w:tmpl w:val="496F7E2A"/>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C0572A"/>
    <w:multiLevelType w:val="multilevel"/>
    <w:tmpl w:val="7EC0572A"/>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508F6"/>
    <w:rsid w:val="00001807"/>
    <w:rsid w:val="00001E79"/>
    <w:rsid w:val="00001F5B"/>
    <w:rsid w:val="00002805"/>
    <w:rsid w:val="00003F7B"/>
    <w:rsid w:val="00005D48"/>
    <w:rsid w:val="00007788"/>
    <w:rsid w:val="0001086B"/>
    <w:rsid w:val="00013B1E"/>
    <w:rsid w:val="00016D6E"/>
    <w:rsid w:val="00016F7A"/>
    <w:rsid w:val="00020A5D"/>
    <w:rsid w:val="00020F40"/>
    <w:rsid w:val="0002213A"/>
    <w:rsid w:val="00022944"/>
    <w:rsid w:val="0002298E"/>
    <w:rsid w:val="00024047"/>
    <w:rsid w:val="000253F7"/>
    <w:rsid w:val="0002586B"/>
    <w:rsid w:val="00025E5C"/>
    <w:rsid w:val="00027CD8"/>
    <w:rsid w:val="00031873"/>
    <w:rsid w:val="00032039"/>
    <w:rsid w:val="00032649"/>
    <w:rsid w:val="00032C3D"/>
    <w:rsid w:val="0003331C"/>
    <w:rsid w:val="00033DE5"/>
    <w:rsid w:val="000355A6"/>
    <w:rsid w:val="00036A7C"/>
    <w:rsid w:val="00040572"/>
    <w:rsid w:val="0004219D"/>
    <w:rsid w:val="000444E2"/>
    <w:rsid w:val="000525CC"/>
    <w:rsid w:val="000530DF"/>
    <w:rsid w:val="000531C0"/>
    <w:rsid w:val="0005328F"/>
    <w:rsid w:val="000544F7"/>
    <w:rsid w:val="0005641D"/>
    <w:rsid w:val="00060A32"/>
    <w:rsid w:val="00060D4A"/>
    <w:rsid w:val="00061BFE"/>
    <w:rsid w:val="00062922"/>
    <w:rsid w:val="00064B01"/>
    <w:rsid w:val="00066C40"/>
    <w:rsid w:val="000678B1"/>
    <w:rsid w:val="000706CD"/>
    <w:rsid w:val="00072EA4"/>
    <w:rsid w:val="000733C1"/>
    <w:rsid w:val="00073792"/>
    <w:rsid w:val="00074CA7"/>
    <w:rsid w:val="00081B08"/>
    <w:rsid w:val="00084AF4"/>
    <w:rsid w:val="000856C7"/>
    <w:rsid w:val="00086FD7"/>
    <w:rsid w:val="000963C1"/>
    <w:rsid w:val="000A37D7"/>
    <w:rsid w:val="000A56AD"/>
    <w:rsid w:val="000A5804"/>
    <w:rsid w:val="000B12B2"/>
    <w:rsid w:val="000B14A2"/>
    <w:rsid w:val="000B209A"/>
    <w:rsid w:val="000B3674"/>
    <w:rsid w:val="000B5C3A"/>
    <w:rsid w:val="000C0A25"/>
    <w:rsid w:val="000C26E9"/>
    <w:rsid w:val="000C29FA"/>
    <w:rsid w:val="000C3EE5"/>
    <w:rsid w:val="000C6ACF"/>
    <w:rsid w:val="000D1C4E"/>
    <w:rsid w:val="000D28FC"/>
    <w:rsid w:val="000D2CE8"/>
    <w:rsid w:val="000D30F6"/>
    <w:rsid w:val="000D321D"/>
    <w:rsid w:val="000D41BC"/>
    <w:rsid w:val="000E21C2"/>
    <w:rsid w:val="000E396E"/>
    <w:rsid w:val="000E515C"/>
    <w:rsid w:val="000E7C9A"/>
    <w:rsid w:val="000F05DB"/>
    <w:rsid w:val="000F10F8"/>
    <w:rsid w:val="000F2A98"/>
    <w:rsid w:val="000F6372"/>
    <w:rsid w:val="000F742C"/>
    <w:rsid w:val="00102B5A"/>
    <w:rsid w:val="001033F2"/>
    <w:rsid w:val="0010490F"/>
    <w:rsid w:val="001052C3"/>
    <w:rsid w:val="00110FA1"/>
    <w:rsid w:val="00111337"/>
    <w:rsid w:val="00114657"/>
    <w:rsid w:val="0011570C"/>
    <w:rsid w:val="001227A3"/>
    <w:rsid w:val="001231BB"/>
    <w:rsid w:val="0012617B"/>
    <w:rsid w:val="001267D6"/>
    <w:rsid w:val="00127602"/>
    <w:rsid w:val="001277E2"/>
    <w:rsid w:val="00127AD9"/>
    <w:rsid w:val="001319D5"/>
    <w:rsid w:val="0013448D"/>
    <w:rsid w:val="00134757"/>
    <w:rsid w:val="0013505D"/>
    <w:rsid w:val="00135707"/>
    <w:rsid w:val="00137D4B"/>
    <w:rsid w:val="001401BA"/>
    <w:rsid w:val="00142139"/>
    <w:rsid w:val="0014259B"/>
    <w:rsid w:val="001459FC"/>
    <w:rsid w:val="00146897"/>
    <w:rsid w:val="00153001"/>
    <w:rsid w:val="001541F8"/>
    <w:rsid w:val="001553FB"/>
    <w:rsid w:val="00156F8C"/>
    <w:rsid w:val="00157693"/>
    <w:rsid w:val="00160302"/>
    <w:rsid w:val="001605C6"/>
    <w:rsid w:val="001610AF"/>
    <w:rsid w:val="001636D4"/>
    <w:rsid w:val="00163C1F"/>
    <w:rsid w:val="001655BA"/>
    <w:rsid w:val="00166E12"/>
    <w:rsid w:val="00167EAA"/>
    <w:rsid w:val="00171488"/>
    <w:rsid w:val="00172013"/>
    <w:rsid w:val="00172630"/>
    <w:rsid w:val="001732A6"/>
    <w:rsid w:val="001733DC"/>
    <w:rsid w:val="00174057"/>
    <w:rsid w:val="0017572C"/>
    <w:rsid w:val="00177B4D"/>
    <w:rsid w:val="00177EC4"/>
    <w:rsid w:val="00180539"/>
    <w:rsid w:val="001810F9"/>
    <w:rsid w:val="00183EE7"/>
    <w:rsid w:val="0018436F"/>
    <w:rsid w:val="0018472C"/>
    <w:rsid w:val="00185D8A"/>
    <w:rsid w:val="00191C97"/>
    <w:rsid w:val="00193BCD"/>
    <w:rsid w:val="001A3866"/>
    <w:rsid w:val="001A6328"/>
    <w:rsid w:val="001B2642"/>
    <w:rsid w:val="001C04C3"/>
    <w:rsid w:val="001C4692"/>
    <w:rsid w:val="001C592B"/>
    <w:rsid w:val="001C5E76"/>
    <w:rsid w:val="001C6964"/>
    <w:rsid w:val="001D16A4"/>
    <w:rsid w:val="001D1728"/>
    <w:rsid w:val="001D4360"/>
    <w:rsid w:val="001D5B28"/>
    <w:rsid w:val="001D62E8"/>
    <w:rsid w:val="001D6B80"/>
    <w:rsid w:val="001D7BA2"/>
    <w:rsid w:val="001E25E4"/>
    <w:rsid w:val="001E30F5"/>
    <w:rsid w:val="001E3AB2"/>
    <w:rsid w:val="001E4F2B"/>
    <w:rsid w:val="001F0183"/>
    <w:rsid w:val="001F0DDA"/>
    <w:rsid w:val="001F1205"/>
    <w:rsid w:val="001F2094"/>
    <w:rsid w:val="001F374D"/>
    <w:rsid w:val="001F72DE"/>
    <w:rsid w:val="001F7CC2"/>
    <w:rsid w:val="00200018"/>
    <w:rsid w:val="00202AE9"/>
    <w:rsid w:val="00211CFC"/>
    <w:rsid w:val="002146BB"/>
    <w:rsid w:val="00214A4C"/>
    <w:rsid w:val="00215183"/>
    <w:rsid w:val="0021733B"/>
    <w:rsid w:val="00221B61"/>
    <w:rsid w:val="00223F05"/>
    <w:rsid w:val="002242FE"/>
    <w:rsid w:val="0022773F"/>
    <w:rsid w:val="00232DBF"/>
    <w:rsid w:val="002332DF"/>
    <w:rsid w:val="002407BE"/>
    <w:rsid w:val="00240BDD"/>
    <w:rsid w:val="00252B7E"/>
    <w:rsid w:val="00253BE2"/>
    <w:rsid w:val="00254A28"/>
    <w:rsid w:val="00255A49"/>
    <w:rsid w:val="0025612F"/>
    <w:rsid w:val="00260077"/>
    <w:rsid w:val="00261828"/>
    <w:rsid w:val="00262AAC"/>
    <w:rsid w:val="00265CAA"/>
    <w:rsid w:val="002664BD"/>
    <w:rsid w:val="00266A7E"/>
    <w:rsid w:val="0026768E"/>
    <w:rsid w:val="00270043"/>
    <w:rsid w:val="00271A73"/>
    <w:rsid w:val="0027234B"/>
    <w:rsid w:val="0027242A"/>
    <w:rsid w:val="0027280D"/>
    <w:rsid w:val="002737D1"/>
    <w:rsid w:val="0027477A"/>
    <w:rsid w:val="0027483E"/>
    <w:rsid w:val="002755C3"/>
    <w:rsid w:val="002763D8"/>
    <w:rsid w:val="0027775C"/>
    <w:rsid w:val="002777AE"/>
    <w:rsid w:val="00277DB4"/>
    <w:rsid w:val="00284C07"/>
    <w:rsid w:val="00292B97"/>
    <w:rsid w:val="00294BC9"/>
    <w:rsid w:val="0029599B"/>
    <w:rsid w:val="002A02D6"/>
    <w:rsid w:val="002A2826"/>
    <w:rsid w:val="002B4404"/>
    <w:rsid w:val="002B4CF5"/>
    <w:rsid w:val="002B55FC"/>
    <w:rsid w:val="002B612E"/>
    <w:rsid w:val="002B6B4C"/>
    <w:rsid w:val="002B76E6"/>
    <w:rsid w:val="002B7DA4"/>
    <w:rsid w:val="002C2022"/>
    <w:rsid w:val="002C20CE"/>
    <w:rsid w:val="002C39BF"/>
    <w:rsid w:val="002C4E2A"/>
    <w:rsid w:val="002C7565"/>
    <w:rsid w:val="002D00AD"/>
    <w:rsid w:val="002D1201"/>
    <w:rsid w:val="002D2FFD"/>
    <w:rsid w:val="002D7978"/>
    <w:rsid w:val="002E1C78"/>
    <w:rsid w:val="002E26C6"/>
    <w:rsid w:val="002E5775"/>
    <w:rsid w:val="002F3BB8"/>
    <w:rsid w:val="002F5952"/>
    <w:rsid w:val="002F6985"/>
    <w:rsid w:val="00302127"/>
    <w:rsid w:val="003048F2"/>
    <w:rsid w:val="00305926"/>
    <w:rsid w:val="00305DE6"/>
    <w:rsid w:val="00307FC7"/>
    <w:rsid w:val="003102B6"/>
    <w:rsid w:val="0031080D"/>
    <w:rsid w:val="003143A6"/>
    <w:rsid w:val="003144B9"/>
    <w:rsid w:val="0032220D"/>
    <w:rsid w:val="003242B9"/>
    <w:rsid w:val="003251ED"/>
    <w:rsid w:val="00326E6C"/>
    <w:rsid w:val="00334F0E"/>
    <w:rsid w:val="0033580C"/>
    <w:rsid w:val="00336EC1"/>
    <w:rsid w:val="0034052B"/>
    <w:rsid w:val="003406D9"/>
    <w:rsid w:val="003462D9"/>
    <w:rsid w:val="00346818"/>
    <w:rsid w:val="00346F89"/>
    <w:rsid w:val="00347BB2"/>
    <w:rsid w:val="00354576"/>
    <w:rsid w:val="003679F1"/>
    <w:rsid w:val="0037140B"/>
    <w:rsid w:val="003810DA"/>
    <w:rsid w:val="00382EF9"/>
    <w:rsid w:val="0038309C"/>
    <w:rsid w:val="00393A43"/>
    <w:rsid w:val="0039590D"/>
    <w:rsid w:val="00397E33"/>
    <w:rsid w:val="003A0E11"/>
    <w:rsid w:val="003A2F01"/>
    <w:rsid w:val="003B08C0"/>
    <w:rsid w:val="003B19D8"/>
    <w:rsid w:val="003B5D9D"/>
    <w:rsid w:val="003B5F58"/>
    <w:rsid w:val="003B742C"/>
    <w:rsid w:val="003C696F"/>
    <w:rsid w:val="003C7096"/>
    <w:rsid w:val="003D1385"/>
    <w:rsid w:val="003D3100"/>
    <w:rsid w:val="003D3AB3"/>
    <w:rsid w:val="003D5930"/>
    <w:rsid w:val="003D79C3"/>
    <w:rsid w:val="003D7C50"/>
    <w:rsid w:val="003E286B"/>
    <w:rsid w:val="003E65F4"/>
    <w:rsid w:val="003E6F50"/>
    <w:rsid w:val="003F652B"/>
    <w:rsid w:val="00401764"/>
    <w:rsid w:val="004039E4"/>
    <w:rsid w:val="00403B87"/>
    <w:rsid w:val="00405413"/>
    <w:rsid w:val="004118BD"/>
    <w:rsid w:val="00412329"/>
    <w:rsid w:val="00413E2C"/>
    <w:rsid w:val="0041524D"/>
    <w:rsid w:val="004159E4"/>
    <w:rsid w:val="0041623C"/>
    <w:rsid w:val="004168E4"/>
    <w:rsid w:val="00416DCF"/>
    <w:rsid w:val="004172BD"/>
    <w:rsid w:val="004179ED"/>
    <w:rsid w:val="00417E51"/>
    <w:rsid w:val="004217D6"/>
    <w:rsid w:val="004328FD"/>
    <w:rsid w:val="00433A14"/>
    <w:rsid w:val="00434E33"/>
    <w:rsid w:val="00437D98"/>
    <w:rsid w:val="00441839"/>
    <w:rsid w:val="00442B49"/>
    <w:rsid w:val="00446A3B"/>
    <w:rsid w:val="00450918"/>
    <w:rsid w:val="004541DD"/>
    <w:rsid w:val="00461134"/>
    <w:rsid w:val="004661B4"/>
    <w:rsid w:val="00473B65"/>
    <w:rsid w:val="00474D10"/>
    <w:rsid w:val="00475BF4"/>
    <w:rsid w:val="0047675F"/>
    <w:rsid w:val="00477173"/>
    <w:rsid w:val="00483058"/>
    <w:rsid w:val="00486C02"/>
    <w:rsid w:val="004873A5"/>
    <w:rsid w:val="00494937"/>
    <w:rsid w:val="00496392"/>
    <w:rsid w:val="0049751E"/>
    <w:rsid w:val="004A0DB0"/>
    <w:rsid w:val="004A2C1E"/>
    <w:rsid w:val="004A5D4E"/>
    <w:rsid w:val="004B0D5F"/>
    <w:rsid w:val="004B3687"/>
    <w:rsid w:val="004B4999"/>
    <w:rsid w:val="004B596E"/>
    <w:rsid w:val="004B660C"/>
    <w:rsid w:val="004B669F"/>
    <w:rsid w:val="004B6AE6"/>
    <w:rsid w:val="004B77CB"/>
    <w:rsid w:val="004C2E9A"/>
    <w:rsid w:val="004C5B57"/>
    <w:rsid w:val="004C5B63"/>
    <w:rsid w:val="004D000E"/>
    <w:rsid w:val="004D25D7"/>
    <w:rsid w:val="004D2FAA"/>
    <w:rsid w:val="004D3B78"/>
    <w:rsid w:val="004E03AF"/>
    <w:rsid w:val="004E4A2B"/>
    <w:rsid w:val="004E535C"/>
    <w:rsid w:val="004E74BB"/>
    <w:rsid w:val="004F0E86"/>
    <w:rsid w:val="004F122C"/>
    <w:rsid w:val="004F454C"/>
    <w:rsid w:val="004F7B2E"/>
    <w:rsid w:val="005007CA"/>
    <w:rsid w:val="00502BCC"/>
    <w:rsid w:val="00506481"/>
    <w:rsid w:val="00506905"/>
    <w:rsid w:val="005079AE"/>
    <w:rsid w:val="00511DD6"/>
    <w:rsid w:val="005135EE"/>
    <w:rsid w:val="00514B58"/>
    <w:rsid w:val="00517AA7"/>
    <w:rsid w:val="00520AE5"/>
    <w:rsid w:val="00521607"/>
    <w:rsid w:val="00524ACA"/>
    <w:rsid w:val="00530C66"/>
    <w:rsid w:val="00532206"/>
    <w:rsid w:val="005354AB"/>
    <w:rsid w:val="005368C2"/>
    <w:rsid w:val="00537A42"/>
    <w:rsid w:val="005403AF"/>
    <w:rsid w:val="0054764F"/>
    <w:rsid w:val="00547B6E"/>
    <w:rsid w:val="005508F6"/>
    <w:rsid w:val="00552658"/>
    <w:rsid w:val="00553829"/>
    <w:rsid w:val="00553FE6"/>
    <w:rsid w:val="00555331"/>
    <w:rsid w:val="005566DC"/>
    <w:rsid w:val="00560DC3"/>
    <w:rsid w:val="00561748"/>
    <w:rsid w:val="00563E3E"/>
    <w:rsid w:val="00565AF5"/>
    <w:rsid w:val="00566842"/>
    <w:rsid w:val="00575C93"/>
    <w:rsid w:val="00577BDB"/>
    <w:rsid w:val="00584E42"/>
    <w:rsid w:val="00585F94"/>
    <w:rsid w:val="005870CD"/>
    <w:rsid w:val="00593EC9"/>
    <w:rsid w:val="00595889"/>
    <w:rsid w:val="00595D18"/>
    <w:rsid w:val="00596310"/>
    <w:rsid w:val="005A46F4"/>
    <w:rsid w:val="005A6623"/>
    <w:rsid w:val="005A664E"/>
    <w:rsid w:val="005A7096"/>
    <w:rsid w:val="005B1A7C"/>
    <w:rsid w:val="005B724E"/>
    <w:rsid w:val="005B7EAD"/>
    <w:rsid w:val="005C0101"/>
    <w:rsid w:val="005C2E53"/>
    <w:rsid w:val="005C4B28"/>
    <w:rsid w:val="005C52C0"/>
    <w:rsid w:val="005C67F9"/>
    <w:rsid w:val="005C72F2"/>
    <w:rsid w:val="005C7ACA"/>
    <w:rsid w:val="005D0C9F"/>
    <w:rsid w:val="005D3CE2"/>
    <w:rsid w:val="005D3FA7"/>
    <w:rsid w:val="005D5D95"/>
    <w:rsid w:val="005D6DAC"/>
    <w:rsid w:val="005E1F8B"/>
    <w:rsid w:val="005E2299"/>
    <w:rsid w:val="005E2496"/>
    <w:rsid w:val="005E4BD7"/>
    <w:rsid w:val="005E653B"/>
    <w:rsid w:val="005F2456"/>
    <w:rsid w:val="005F3859"/>
    <w:rsid w:val="005F6E21"/>
    <w:rsid w:val="005F740C"/>
    <w:rsid w:val="00601437"/>
    <w:rsid w:val="00602557"/>
    <w:rsid w:val="00602AA3"/>
    <w:rsid w:val="00604C67"/>
    <w:rsid w:val="0060530A"/>
    <w:rsid w:val="00611528"/>
    <w:rsid w:val="00612D45"/>
    <w:rsid w:val="006137DD"/>
    <w:rsid w:val="00614FA6"/>
    <w:rsid w:val="0062053C"/>
    <w:rsid w:val="00621F0D"/>
    <w:rsid w:val="00623846"/>
    <w:rsid w:val="00625B41"/>
    <w:rsid w:val="006263C8"/>
    <w:rsid w:val="006300CB"/>
    <w:rsid w:val="00631DA9"/>
    <w:rsid w:val="00631DB5"/>
    <w:rsid w:val="00632C2C"/>
    <w:rsid w:val="00637D0F"/>
    <w:rsid w:val="00637D46"/>
    <w:rsid w:val="00640128"/>
    <w:rsid w:val="00640928"/>
    <w:rsid w:val="006435E1"/>
    <w:rsid w:val="00643AFD"/>
    <w:rsid w:val="00644978"/>
    <w:rsid w:val="00645C87"/>
    <w:rsid w:val="00647525"/>
    <w:rsid w:val="00647726"/>
    <w:rsid w:val="0065056A"/>
    <w:rsid w:val="006521D5"/>
    <w:rsid w:val="006528B4"/>
    <w:rsid w:val="006576EF"/>
    <w:rsid w:val="006658B8"/>
    <w:rsid w:val="006667F8"/>
    <w:rsid w:val="00671485"/>
    <w:rsid w:val="0067252B"/>
    <w:rsid w:val="00674332"/>
    <w:rsid w:val="0067628A"/>
    <w:rsid w:val="00687A0B"/>
    <w:rsid w:val="0069121F"/>
    <w:rsid w:val="00692046"/>
    <w:rsid w:val="006923A3"/>
    <w:rsid w:val="0069291A"/>
    <w:rsid w:val="0069291E"/>
    <w:rsid w:val="00694781"/>
    <w:rsid w:val="006A0527"/>
    <w:rsid w:val="006A16BC"/>
    <w:rsid w:val="006A44AD"/>
    <w:rsid w:val="006A5912"/>
    <w:rsid w:val="006A5A31"/>
    <w:rsid w:val="006A6604"/>
    <w:rsid w:val="006B1AAE"/>
    <w:rsid w:val="006B1D93"/>
    <w:rsid w:val="006B24F1"/>
    <w:rsid w:val="006B35C1"/>
    <w:rsid w:val="006B36B4"/>
    <w:rsid w:val="006B5A24"/>
    <w:rsid w:val="006B73C7"/>
    <w:rsid w:val="006C10FD"/>
    <w:rsid w:val="006C16CD"/>
    <w:rsid w:val="006C568A"/>
    <w:rsid w:val="006C70A5"/>
    <w:rsid w:val="006D2259"/>
    <w:rsid w:val="006D2E5F"/>
    <w:rsid w:val="006D4560"/>
    <w:rsid w:val="006D540E"/>
    <w:rsid w:val="006D563D"/>
    <w:rsid w:val="006D6429"/>
    <w:rsid w:val="006E0D95"/>
    <w:rsid w:val="006E4F7E"/>
    <w:rsid w:val="006E7D94"/>
    <w:rsid w:val="006F2D69"/>
    <w:rsid w:val="006F3E4F"/>
    <w:rsid w:val="006F4713"/>
    <w:rsid w:val="006F58C5"/>
    <w:rsid w:val="007022AA"/>
    <w:rsid w:val="00702893"/>
    <w:rsid w:val="007056CC"/>
    <w:rsid w:val="00707A5B"/>
    <w:rsid w:val="0071148D"/>
    <w:rsid w:val="00714640"/>
    <w:rsid w:val="007231AD"/>
    <w:rsid w:val="00723B1F"/>
    <w:rsid w:val="007267D4"/>
    <w:rsid w:val="00731B84"/>
    <w:rsid w:val="007363A4"/>
    <w:rsid w:val="007364E2"/>
    <w:rsid w:val="00740CA2"/>
    <w:rsid w:val="0074121D"/>
    <w:rsid w:val="00741E6C"/>
    <w:rsid w:val="00745EB1"/>
    <w:rsid w:val="00753A04"/>
    <w:rsid w:val="00754CD1"/>
    <w:rsid w:val="0075718E"/>
    <w:rsid w:val="007572A7"/>
    <w:rsid w:val="00762E02"/>
    <w:rsid w:val="00766D20"/>
    <w:rsid w:val="00767CFD"/>
    <w:rsid w:val="00771B4E"/>
    <w:rsid w:val="0077418D"/>
    <w:rsid w:val="00775CB1"/>
    <w:rsid w:val="007775E4"/>
    <w:rsid w:val="007936E0"/>
    <w:rsid w:val="0079531B"/>
    <w:rsid w:val="00796357"/>
    <w:rsid w:val="00797185"/>
    <w:rsid w:val="007979F6"/>
    <w:rsid w:val="007A1049"/>
    <w:rsid w:val="007A1227"/>
    <w:rsid w:val="007A172E"/>
    <w:rsid w:val="007A3268"/>
    <w:rsid w:val="007A40A3"/>
    <w:rsid w:val="007A790C"/>
    <w:rsid w:val="007A7C5C"/>
    <w:rsid w:val="007B3097"/>
    <w:rsid w:val="007B3FFE"/>
    <w:rsid w:val="007B4869"/>
    <w:rsid w:val="007B4F67"/>
    <w:rsid w:val="007C096C"/>
    <w:rsid w:val="007C2F08"/>
    <w:rsid w:val="007C32A9"/>
    <w:rsid w:val="007C774B"/>
    <w:rsid w:val="007D1941"/>
    <w:rsid w:val="007D19DB"/>
    <w:rsid w:val="007D1E4C"/>
    <w:rsid w:val="007D2819"/>
    <w:rsid w:val="007D44D6"/>
    <w:rsid w:val="007E2DD1"/>
    <w:rsid w:val="007E3237"/>
    <w:rsid w:val="007E3E8B"/>
    <w:rsid w:val="007E4023"/>
    <w:rsid w:val="007E7F78"/>
    <w:rsid w:val="007F2C9A"/>
    <w:rsid w:val="007F4E5C"/>
    <w:rsid w:val="007F7B28"/>
    <w:rsid w:val="00800FCA"/>
    <w:rsid w:val="008014F8"/>
    <w:rsid w:val="00804D79"/>
    <w:rsid w:val="00805812"/>
    <w:rsid w:val="00812163"/>
    <w:rsid w:val="00812B8C"/>
    <w:rsid w:val="00814713"/>
    <w:rsid w:val="00814D2B"/>
    <w:rsid w:val="00814FD0"/>
    <w:rsid w:val="008155C9"/>
    <w:rsid w:val="008162D3"/>
    <w:rsid w:val="00816821"/>
    <w:rsid w:val="00821334"/>
    <w:rsid w:val="00822542"/>
    <w:rsid w:val="00823583"/>
    <w:rsid w:val="008248A1"/>
    <w:rsid w:val="00827DCA"/>
    <w:rsid w:val="00830A9A"/>
    <w:rsid w:val="00833E89"/>
    <w:rsid w:val="00833EFF"/>
    <w:rsid w:val="00836338"/>
    <w:rsid w:val="008368A7"/>
    <w:rsid w:val="00837222"/>
    <w:rsid w:val="0084574C"/>
    <w:rsid w:val="00845D1E"/>
    <w:rsid w:val="00846B47"/>
    <w:rsid w:val="00847533"/>
    <w:rsid w:val="00847788"/>
    <w:rsid w:val="00850195"/>
    <w:rsid w:val="0085046D"/>
    <w:rsid w:val="00853A46"/>
    <w:rsid w:val="00854664"/>
    <w:rsid w:val="00854794"/>
    <w:rsid w:val="008564F9"/>
    <w:rsid w:val="00860A81"/>
    <w:rsid w:val="008671B7"/>
    <w:rsid w:val="008671F4"/>
    <w:rsid w:val="008677BE"/>
    <w:rsid w:val="0087068E"/>
    <w:rsid w:val="008732C4"/>
    <w:rsid w:val="008740C4"/>
    <w:rsid w:val="00875B6E"/>
    <w:rsid w:val="00877868"/>
    <w:rsid w:val="00884C57"/>
    <w:rsid w:val="00886073"/>
    <w:rsid w:val="00886E60"/>
    <w:rsid w:val="0089464F"/>
    <w:rsid w:val="00896425"/>
    <w:rsid w:val="008A1CC0"/>
    <w:rsid w:val="008A21E0"/>
    <w:rsid w:val="008A61D5"/>
    <w:rsid w:val="008A7859"/>
    <w:rsid w:val="008A7F5F"/>
    <w:rsid w:val="008B4C8A"/>
    <w:rsid w:val="008D0010"/>
    <w:rsid w:val="008D22F4"/>
    <w:rsid w:val="008D3ABB"/>
    <w:rsid w:val="008D4700"/>
    <w:rsid w:val="008D56A6"/>
    <w:rsid w:val="008E15C4"/>
    <w:rsid w:val="008E38D5"/>
    <w:rsid w:val="008E4803"/>
    <w:rsid w:val="008F03ED"/>
    <w:rsid w:val="008F12CD"/>
    <w:rsid w:val="008F26B6"/>
    <w:rsid w:val="00901B3A"/>
    <w:rsid w:val="00902AEB"/>
    <w:rsid w:val="00903E11"/>
    <w:rsid w:val="00906A6B"/>
    <w:rsid w:val="00906E5C"/>
    <w:rsid w:val="009103FE"/>
    <w:rsid w:val="009141BB"/>
    <w:rsid w:val="00916C69"/>
    <w:rsid w:val="00917D3C"/>
    <w:rsid w:val="0092168E"/>
    <w:rsid w:val="00921926"/>
    <w:rsid w:val="0092263E"/>
    <w:rsid w:val="00924095"/>
    <w:rsid w:val="00924559"/>
    <w:rsid w:val="0092506D"/>
    <w:rsid w:val="00926427"/>
    <w:rsid w:val="0092754F"/>
    <w:rsid w:val="009328E2"/>
    <w:rsid w:val="00935C7D"/>
    <w:rsid w:val="00936FF3"/>
    <w:rsid w:val="0093760E"/>
    <w:rsid w:val="0093762B"/>
    <w:rsid w:val="00940E69"/>
    <w:rsid w:val="00944517"/>
    <w:rsid w:val="009448D3"/>
    <w:rsid w:val="00945FF5"/>
    <w:rsid w:val="00947E15"/>
    <w:rsid w:val="0095189E"/>
    <w:rsid w:val="00952E3A"/>
    <w:rsid w:val="009563C5"/>
    <w:rsid w:val="00961112"/>
    <w:rsid w:val="00962B12"/>
    <w:rsid w:val="009656AC"/>
    <w:rsid w:val="00966002"/>
    <w:rsid w:val="00967197"/>
    <w:rsid w:val="00967B5C"/>
    <w:rsid w:val="00967D81"/>
    <w:rsid w:val="00971000"/>
    <w:rsid w:val="00972264"/>
    <w:rsid w:val="009751E4"/>
    <w:rsid w:val="00980FDA"/>
    <w:rsid w:val="0098401E"/>
    <w:rsid w:val="00984A4B"/>
    <w:rsid w:val="00994C78"/>
    <w:rsid w:val="00996FD6"/>
    <w:rsid w:val="009A2213"/>
    <w:rsid w:val="009A3499"/>
    <w:rsid w:val="009A3E37"/>
    <w:rsid w:val="009A5513"/>
    <w:rsid w:val="009A6578"/>
    <w:rsid w:val="009A69C9"/>
    <w:rsid w:val="009B0570"/>
    <w:rsid w:val="009B28F3"/>
    <w:rsid w:val="009B309E"/>
    <w:rsid w:val="009B3944"/>
    <w:rsid w:val="009B3C09"/>
    <w:rsid w:val="009B3D24"/>
    <w:rsid w:val="009B4395"/>
    <w:rsid w:val="009B667F"/>
    <w:rsid w:val="009B73CB"/>
    <w:rsid w:val="009C27C3"/>
    <w:rsid w:val="009C7320"/>
    <w:rsid w:val="009D2EA0"/>
    <w:rsid w:val="009D3635"/>
    <w:rsid w:val="009D49CA"/>
    <w:rsid w:val="009D752B"/>
    <w:rsid w:val="009E0E18"/>
    <w:rsid w:val="009E60CC"/>
    <w:rsid w:val="009F0E55"/>
    <w:rsid w:val="009F3EF9"/>
    <w:rsid w:val="009F4D90"/>
    <w:rsid w:val="009F4FD0"/>
    <w:rsid w:val="009F64E2"/>
    <w:rsid w:val="009F7AAE"/>
    <w:rsid w:val="00A00014"/>
    <w:rsid w:val="00A01CBE"/>
    <w:rsid w:val="00A025B6"/>
    <w:rsid w:val="00A05995"/>
    <w:rsid w:val="00A07AE9"/>
    <w:rsid w:val="00A07F68"/>
    <w:rsid w:val="00A106E2"/>
    <w:rsid w:val="00A1130E"/>
    <w:rsid w:val="00A12912"/>
    <w:rsid w:val="00A1567A"/>
    <w:rsid w:val="00A17B5D"/>
    <w:rsid w:val="00A20964"/>
    <w:rsid w:val="00A2200F"/>
    <w:rsid w:val="00A2333F"/>
    <w:rsid w:val="00A23999"/>
    <w:rsid w:val="00A24750"/>
    <w:rsid w:val="00A268E8"/>
    <w:rsid w:val="00A27BF1"/>
    <w:rsid w:val="00A31439"/>
    <w:rsid w:val="00A358B1"/>
    <w:rsid w:val="00A35E74"/>
    <w:rsid w:val="00A35EB6"/>
    <w:rsid w:val="00A37023"/>
    <w:rsid w:val="00A4087D"/>
    <w:rsid w:val="00A43B8E"/>
    <w:rsid w:val="00A44A25"/>
    <w:rsid w:val="00A45525"/>
    <w:rsid w:val="00A45C92"/>
    <w:rsid w:val="00A478C1"/>
    <w:rsid w:val="00A47D80"/>
    <w:rsid w:val="00A5035B"/>
    <w:rsid w:val="00A50BDA"/>
    <w:rsid w:val="00A50F26"/>
    <w:rsid w:val="00A56B02"/>
    <w:rsid w:val="00A627EA"/>
    <w:rsid w:val="00A6560E"/>
    <w:rsid w:val="00A67096"/>
    <w:rsid w:val="00A717CF"/>
    <w:rsid w:val="00A738FD"/>
    <w:rsid w:val="00A74116"/>
    <w:rsid w:val="00A741E7"/>
    <w:rsid w:val="00A74E68"/>
    <w:rsid w:val="00A75632"/>
    <w:rsid w:val="00A76A0C"/>
    <w:rsid w:val="00A76F80"/>
    <w:rsid w:val="00A814B5"/>
    <w:rsid w:val="00A82515"/>
    <w:rsid w:val="00A8435A"/>
    <w:rsid w:val="00A85EB1"/>
    <w:rsid w:val="00A86B57"/>
    <w:rsid w:val="00A872C5"/>
    <w:rsid w:val="00A87B2E"/>
    <w:rsid w:val="00A90A63"/>
    <w:rsid w:val="00A90C30"/>
    <w:rsid w:val="00A91254"/>
    <w:rsid w:val="00A9133B"/>
    <w:rsid w:val="00A91634"/>
    <w:rsid w:val="00A93E39"/>
    <w:rsid w:val="00AA44AB"/>
    <w:rsid w:val="00AA487E"/>
    <w:rsid w:val="00AA7117"/>
    <w:rsid w:val="00AB047B"/>
    <w:rsid w:val="00AB140D"/>
    <w:rsid w:val="00AB27CE"/>
    <w:rsid w:val="00AB487A"/>
    <w:rsid w:val="00AB5249"/>
    <w:rsid w:val="00AB6619"/>
    <w:rsid w:val="00AB7362"/>
    <w:rsid w:val="00AB7F77"/>
    <w:rsid w:val="00AD2793"/>
    <w:rsid w:val="00AD3287"/>
    <w:rsid w:val="00AD425D"/>
    <w:rsid w:val="00AD523A"/>
    <w:rsid w:val="00AD7D83"/>
    <w:rsid w:val="00AE04D5"/>
    <w:rsid w:val="00AE5318"/>
    <w:rsid w:val="00AE6729"/>
    <w:rsid w:val="00AE79C1"/>
    <w:rsid w:val="00AF048D"/>
    <w:rsid w:val="00AF0E86"/>
    <w:rsid w:val="00AF179C"/>
    <w:rsid w:val="00AF78C6"/>
    <w:rsid w:val="00B0053E"/>
    <w:rsid w:val="00B008C5"/>
    <w:rsid w:val="00B01967"/>
    <w:rsid w:val="00B03E62"/>
    <w:rsid w:val="00B040B1"/>
    <w:rsid w:val="00B13242"/>
    <w:rsid w:val="00B1469B"/>
    <w:rsid w:val="00B147A2"/>
    <w:rsid w:val="00B16A65"/>
    <w:rsid w:val="00B216A9"/>
    <w:rsid w:val="00B22F63"/>
    <w:rsid w:val="00B2321C"/>
    <w:rsid w:val="00B257EF"/>
    <w:rsid w:val="00B27B48"/>
    <w:rsid w:val="00B27B57"/>
    <w:rsid w:val="00B33F5C"/>
    <w:rsid w:val="00B34B30"/>
    <w:rsid w:val="00B34C86"/>
    <w:rsid w:val="00B37937"/>
    <w:rsid w:val="00B37A34"/>
    <w:rsid w:val="00B37D7B"/>
    <w:rsid w:val="00B442A3"/>
    <w:rsid w:val="00B449C7"/>
    <w:rsid w:val="00B45FD4"/>
    <w:rsid w:val="00B53643"/>
    <w:rsid w:val="00B54884"/>
    <w:rsid w:val="00B54C77"/>
    <w:rsid w:val="00B608B5"/>
    <w:rsid w:val="00B61609"/>
    <w:rsid w:val="00B61E1A"/>
    <w:rsid w:val="00B62DD9"/>
    <w:rsid w:val="00B637C5"/>
    <w:rsid w:val="00B6709E"/>
    <w:rsid w:val="00B75D89"/>
    <w:rsid w:val="00B762F8"/>
    <w:rsid w:val="00B80799"/>
    <w:rsid w:val="00B816DD"/>
    <w:rsid w:val="00B846C6"/>
    <w:rsid w:val="00B87F85"/>
    <w:rsid w:val="00B907E2"/>
    <w:rsid w:val="00B90CE1"/>
    <w:rsid w:val="00B931DC"/>
    <w:rsid w:val="00B96B81"/>
    <w:rsid w:val="00BA15D3"/>
    <w:rsid w:val="00BA16EF"/>
    <w:rsid w:val="00BA33EC"/>
    <w:rsid w:val="00BA3955"/>
    <w:rsid w:val="00BA3E5D"/>
    <w:rsid w:val="00BA4126"/>
    <w:rsid w:val="00BA5024"/>
    <w:rsid w:val="00BA50CF"/>
    <w:rsid w:val="00BA5540"/>
    <w:rsid w:val="00BA6006"/>
    <w:rsid w:val="00BA6CE9"/>
    <w:rsid w:val="00BB20AA"/>
    <w:rsid w:val="00BB2BEA"/>
    <w:rsid w:val="00BB34C8"/>
    <w:rsid w:val="00BB3BCE"/>
    <w:rsid w:val="00BB7029"/>
    <w:rsid w:val="00BB784A"/>
    <w:rsid w:val="00BC0B39"/>
    <w:rsid w:val="00BC15E9"/>
    <w:rsid w:val="00BC512C"/>
    <w:rsid w:val="00BC6D0F"/>
    <w:rsid w:val="00BC7068"/>
    <w:rsid w:val="00BC78B2"/>
    <w:rsid w:val="00BD17ED"/>
    <w:rsid w:val="00BD3B6B"/>
    <w:rsid w:val="00BD6733"/>
    <w:rsid w:val="00BD71A4"/>
    <w:rsid w:val="00BD7EB9"/>
    <w:rsid w:val="00BE0CD4"/>
    <w:rsid w:val="00BE738C"/>
    <w:rsid w:val="00BE7AEC"/>
    <w:rsid w:val="00BF03F9"/>
    <w:rsid w:val="00BF5646"/>
    <w:rsid w:val="00BF65C6"/>
    <w:rsid w:val="00BF7246"/>
    <w:rsid w:val="00C01C97"/>
    <w:rsid w:val="00C02FE1"/>
    <w:rsid w:val="00C0502F"/>
    <w:rsid w:val="00C05EAC"/>
    <w:rsid w:val="00C10773"/>
    <w:rsid w:val="00C10F31"/>
    <w:rsid w:val="00C13015"/>
    <w:rsid w:val="00C1594A"/>
    <w:rsid w:val="00C16AA7"/>
    <w:rsid w:val="00C202EC"/>
    <w:rsid w:val="00C2057C"/>
    <w:rsid w:val="00C22D2B"/>
    <w:rsid w:val="00C26719"/>
    <w:rsid w:val="00C301F7"/>
    <w:rsid w:val="00C31ACC"/>
    <w:rsid w:val="00C35ECF"/>
    <w:rsid w:val="00C365F3"/>
    <w:rsid w:val="00C41911"/>
    <w:rsid w:val="00C41FAC"/>
    <w:rsid w:val="00C44959"/>
    <w:rsid w:val="00C453E2"/>
    <w:rsid w:val="00C4668D"/>
    <w:rsid w:val="00C47778"/>
    <w:rsid w:val="00C47BD4"/>
    <w:rsid w:val="00C520A2"/>
    <w:rsid w:val="00C52879"/>
    <w:rsid w:val="00C52F3F"/>
    <w:rsid w:val="00C53FC4"/>
    <w:rsid w:val="00C553FC"/>
    <w:rsid w:val="00C560DF"/>
    <w:rsid w:val="00C56DCE"/>
    <w:rsid w:val="00C5744B"/>
    <w:rsid w:val="00C57FF1"/>
    <w:rsid w:val="00C6053E"/>
    <w:rsid w:val="00C60617"/>
    <w:rsid w:val="00C61A87"/>
    <w:rsid w:val="00C61BC1"/>
    <w:rsid w:val="00C625B3"/>
    <w:rsid w:val="00C62E72"/>
    <w:rsid w:val="00C64F94"/>
    <w:rsid w:val="00C65065"/>
    <w:rsid w:val="00C65175"/>
    <w:rsid w:val="00C65BD8"/>
    <w:rsid w:val="00C65C8D"/>
    <w:rsid w:val="00C672D4"/>
    <w:rsid w:val="00C67FDB"/>
    <w:rsid w:val="00C71BF9"/>
    <w:rsid w:val="00C74D48"/>
    <w:rsid w:val="00C76497"/>
    <w:rsid w:val="00C76753"/>
    <w:rsid w:val="00C77420"/>
    <w:rsid w:val="00C77961"/>
    <w:rsid w:val="00C81E41"/>
    <w:rsid w:val="00C8411C"/>
    <w:rsid w:val="00C85039"/>
    <w:rsid w:val="00C86ED4"/>
    <w:rsid w:val="00C87697"/>
    <w:rsid w:val="00C9012B"/>
    <w:rsid w:val="00C9112E"/>
    <w:rsid w:val="00C91264"/>
    <w:rsid w:val="00C912DB"/>
    <w:rsid w:val="00C96825"/>
    <w:rsid w:val="00C969A8"/>
    <w:rsid w:val="00C97AB5"/>
    <w:rsid w:val="00CA1AE2"/>
    <w:rsid w:val="00CA40F6"/>
    <w:rsid w:val="00CA4B98"/>
    <w:rsid w:val="00CA4D7B"/>
    <w:rsid w:val="00CA5002"/>
    <w:rsid w:val="00CA750F"/>
    <w:rsid w:val="00CB146F"/>
    <w:rsid w:val="00CB2DA7"/>
    <w:rsid w:val="00CB47F5"/>
    <w:rsid w:val="00CB5D73"/>
    <w:rsid w:val="00CB67A3"/>
    <w:rsid w:val="00CC25DB"/>
    <w:rsid w:val="00CC3666"/>
    <w:rsid w:val="00CC382B"/>
    <w:rsid w:val="00CC4057"/>
    <w:rsid w:val="00CC5094"/>
    <w:rsid w:val="00CC5400"/>
    <w:rsid w:val="00CD29AD"/>
    <w:rsid w:val="00CD3D04"/>
    <w:rsid w:val="00CD7BAB"/>
    <w:rsid w:val="00CE0217"/>
    <w:rsid w:val="00CE248F"/>
    <w:rsid w:val="00CE2E3F"/>
    <w:rsid w:val="00CE3203"/>
    <w:rsid w:val="00CE48A9"/>
    <w:rsid w:val="00CE51BB"/>
    <w:rsid w:val="00CE5EC8"/>
    <w:rsid w:val="00CE696A"/>
    <w:rsid w:val="00CE754C"/>
    <w:rsid w:val="00CE7FA1"/>
    <w:rsid w:val="00CF056B"/>
    <w:rsid w:val="00CF1759"/>
    <w:rsid w:val="00D01D3E"/>
    <w:rsid w:val="00D03FCB"/>
    <w:rsid w:val="00D0646F"/>
    <w:rsid w:val="00D10138"/>
    <w:rsid w:val="00D10882"/>
    <w:rsid w:val="00D11962"/>
    <w:rsid w:val="00D11CCF"/>
    <w:rsid w:val="00D131D5"/>
    <w:rsid w:val="00D13CAF"/>
    <w:rsid w:val="00D148CF"/>
    <w:rsid w:val="00D15713"/>
    <w:rsid w:val="00D15CCB"/>
    <w:rsid w:val="00D20F1E"/>
    <w:rsid w:val="00D22252"/>
    <w:rsid w:val="00D232EA"/>
    <w:rsid w:val="00D246E2"/>
    <w:rsid w:val="00D25208"/>
    <w:rsid w:val="00D253B7"/>
    <w:rsid w:val="00D25F29"/>
    <w:rsid w:val="00D26268"/>
    <w:rsid w:val="00D26CE1"/>
    <w:rsid w:val="00D301A8"/>
    <w:rsid w:val="00D3338B"/>
    <w:rsid w:val="00D333C8"/>
    <w:rsid w:val="00D338AA"/>
    <w:rsid w:val="00D348CB"/>
    <w:rsid w:val="00D349AE"/>
    <w:rsid w:val="00D35D9F"/>
    <w:rsid w:val="00D35E1C"/>
    <w:rsid w:val="00D41503"/>
    <w:rsid w:val="00D4298D"/>
    <w:rsid w:val="00D43781"/>
    <w:rsid w:val="00D44896"/>
    <w:rsid w:val="00D450D7"/>
    <w:rsid w:val="00D45A70"/>
    <w:rsid w:val="00D46D82"/>
    <w:rsid w:val="00D46F9C"/>
    <w:rsid w:val="00D50DB8"/>
    <w:rsid w:val="00D50FD5"/>
    <w:rsid w:val="00D51AD5"/>
    <w:rsid w:val="00D52048"/>
    <w:rsid w:val="00D538CC"/>
    <w:rsid w:val="00D53A30"/>
    <w:rsid w:val="00D547E4"/>
    <w:rsid w:val="00D54884"/>
    <w:rsid w:val="00D5716B"/>
    <w:rsid w:val="00D57348"/>
    <w:rsid w:val="00D5779D"/>
    <w:rsid w:val="00D6073F"/>
    <w:rsid w:val="00D74F0F"/>
    <w:rsid w:val="00D8061D"/>
    <w:rsid w:val="00D823B2"/>
    <w:rsid w:val="00D8588B"/>
    <w:rsid w:val="00D86A00"/>
    <w:rsid w:val="00D86A7B"/>
    <w:rsid w:val="00D86D0F"/>
    <w:rsid w:val="00D87290"/>
    <w:rsid w:val="00D96C74"/>
    <w:rsid w:val="00DA295E"/>
    <w:rsid w:val="00DA466D"/>
    <w:rsid w:val="00DA560D"/>
    <w:rsid w:val="00DA605E"/>
    <w:rsid w:val="00DA7771"/>
    <w:rsid w:val="00DA7913"/>
    <w:rsid w:val="00DB167B"/>
    <w:rsid w:val="00DB457A"/>
    <w:rsid w:val="00DB474D"/>
    <w:rsid w:val="00DB7FC1"/>
    <w:rsid w:val="00DC0304"/>
    <w:rsid w:val="00DC4212"/>
    <w:rsid w:val="00DC5F0C"/>
    <w:rsid w:val="00DD04D6"/>
    <w:rsid w:val="00DD0E85"/>
    <w:rsid w:val="00DD3716"/>
    <w:rsid w:val="00DD7EB8"/>
    <w:rsid w:val="00DE19EE"/>
    <w:rsid w:val="00DE3AFE"/>
    <w:rsid w:val="00DE4E5F"/>
    <w:rsid w:val="00DF471C"/>
    <w:rsid w:val="00DF505D"/>
    <w:rsid w:val="00DF5152"/>
    <w:rsid w:val="00DF691E"/>
    <w:rsid w:val="00DF6EF7"/>
    <w:rsid w:val="00E01750"/>
    <w:rsid w:val="00E02865"/>
    <w:rsid w:val="00E03A9C"/>
    <w:rsid w:val="00E0613E"/>
    <w:rsid w:val="00E0653B"/>
    <w:rsid w:val="00E069D7"/>
    <w:rsid w:val="00E07E1D"/>
    <w:rsid w:val="00E127CB"/>
    <w:rsid w:val="00E13223"/>
    <w:rsid w:val="00E13D0D"/>
    <w:rsid w:val="00E14403"/>
    <w:rsid w:val="00E15E5A"/>
    <w:rsid w:val="00E2185C"/>
    <w:rsid w:val="00E231A2"/>
    <w:rsid w:val="00E23F5D"/>
    <w:rsid w:val="00E273DB"/>
    <w:rsid w:val="00E311E2"/>
    <w:rsid w:val="00E3348A"/>
    <w:rsid w:val="00E36069"/>
    <w:rsid w:val="00E367EC"/>
    <w:rsid w:val="00E36849"/>
    <w:rsid w:val="00E37FFE"/>
    <w:rsid w:val="00E421A6"/>
    <w:rsid w:val="00E44605"/>
    <w:rsid w:val="00E456E1"/>
    <w:rsid w:val="00E50285"/>
    <w:rsid w:val="00E50292"/>
    <w:rsid w:val="00E50BEE"/>
    <w:rsid w:val="00E5367C"/>
    <w:rsid w:val="00E553BD"/>
    <w:rsid w:val="00E5557B"/>
    <w:rsid w:val="00E56201"/>
    <w:rsid w:val="00E56472"/>
    <w:rsid w:val="00E61DDE"/>
    <w:rsid w:val="00E624EB"/>
    <w:rsid w:val="00E6353C"/>
    <w:rsid w:val="00E641EA"/>
    <w:rsid w:val="00E6427A"/>
    <w:rsid w:val="00E66A6B"/>
    <w:rsid w:val="00E703D5"/>
    <w:rsid w:val="00E71206"/>
    <w:rsid w:val="00E731D0"/>
    <w:rsid w:val="00E73304"/>
    <w:rsid w:val="00E7608C"/>
    <w:rsid w:val="00E77741"/>
    <w:rsid w:val="00E80230"/>
    <w:rsid w:val="00E80B88"/>
    <w:rsid w:val="00E8204C"/>
    <w:rsid w:val="00E8240F"/>
    <w:rsid w:val="00E82E3A"/>
    <w:rsid w:val="00E83706"/>
    <w:rsid w:val="00E85F5D"/>
    <w:rsid w:val="00E85F6C"/>
    <w:rsid w:val="00E901AB"/>
    <w:rsid w:val="00E90D0D"/>
    <w:rsid w:val="00E92709"/>
    <w:rsid w:val="00E94518"/>
    <w:rsid w:val="00E958BC"/>
    <w:rsid w:val="00EA0D2C"/>
    <w:rsid w:val="00EA11D7"/>
    <w:rsid w:val="00EA1AFC"/>
    <w:rsid w:val="00EA2E43"/>
    <w:rsid w:val="00EA4586"/>
    <w:rsid w:val="00EA4896"/>
    <w:rsid w:val="00EA5D29"/>
    <w:rsid w:val="00EA6119"/>
    <w:rsid w:val="00EA736B"/>
    <w:rsid w:val="00EB0922"/>
    <w:rsid w:val="00EB0AB1"/>
    <w:rsid w:val="00EB0B51"/>
    <w:rsid w:val="00EB20C2"/>
    <w:rsid w:val="00EB7E60"/>
    <w:rsid w:val="00EC571D"/>
    <w:rsid w:val="00EC5A7C"/>
    <w:rsid w:val="00ED40B4"/>
    <w:rsid w:val="00ED68A6"/>
    <w:rsid w:val="00ED787A"/>
    <w:rsid w:val="00EE18A5"/>
    <w:rsid w:val="00EE3EA2"/>
    <w:rsid w:val="00EE6474"/>
    <w:rsid w:val="00EE6653"/>
    <w:rsid w:val="00F03A61"/>
    <w:rsid w:val="00F04967"/>
    <w:rsid w:val="00F04B30"/>
    <w:rsid w:val="00F07FF2"/>
    <w:rsid w:val="00F12825"/>
    <w:rsid w:val="00F143D6"/>
    <w:rsid w:val="00F14F12"/>
    <w:rsid w:val="00F15107"/>
    <w:rsid w:val="00F17284"/>
    <w:rsid w:val="00F20496"/>
    <w:rsid w:val="00F229E3"/>
    <w:rsid w:val="00F25B2B"/>
    <w:rsid w:val="00F3083E"/>
    <w:rsid w:val="00F30A1A"/>
    <w:rsid w:val="00F34887"/>
    <w:rsid w:val="00F403EF"/>
    <w:rsid w:val="00F40B60"/>
    <w:rsid w:val="00F413C8"/>
    <w:rsid w:val="00F464A6"/>
    <w:rsid w:val="00F4652A"/>
    <w:rsid w:val="00F539DD"/>
    <w:rsid w:val="00F540D8"/>
    <w:rsid w:val="00F54535"/>
    <w:rsid w:val="00F562D2"/>
    <w:rsid w:val="00F57153"/>
    <w:rsid w:val="00F57294"/>
    <w:rsid w:val="00F57B64"/>
    <w:rsid w:val="00F611EC"/>
    <w:rsid w:val="00F6133F"/>
    <w:rsid w:val="00F61B8F"/>
    <w:rsid w:val="00F6297B"/>
    <w:rsid w:val="00F636D8"/>
    <w:rsid w:val="00F6487A"/>
    <w:rsid w:val="00F667B1"/>
    <w:rsid w:val="00F6788A"/>
    <w:rsid w:val="00F67FC5"/>
    <w:rsid w:val="00F72076"/>
    <w:rsid w:val="00F7297A"/>
    <w:rsid w:val="00F72E11"/>
    <w:rsid w:val="00F73A26"/>
    <w:rsid w:val="00F86F9E"/>
    <w:rsid w:val="00F87384"/>
    <w:rsid w:val="00F91FE1"/>
    <w:rsid w:val="00F92E26"/>
    <w:rsid w:val="00F948CC"/>
    <w:rsid w:val="00F957D1"/>
    <w:rsid w:val="00F97E15"/>
    <w:rsid w:val="00FA0C55"/>
    <w:rsid w:val="00FA1172"/>
    <w:rsid w:val="00FA269B"/>
    <w:rsid w:val="00FA31CC"/>
    <w:rsid w:val="00FA40CF"/>
    <w:rsid w:val="00FA4D91"/>
    <w:rsid w:val="00FA5474"/>
    <w:rsid w:val="00FA62A3"/>
    <w:rsid w:val="00FA6F4A"/>
    <w:rsid w:val="00FA76CC"/>
    <w:rsid w:val="00FB110E"/>
    <w:rsid w:val="00FB20B6"/>
    <w:rsid w:val="00FB397E"/>
    <w:rsid w:val="00FB7D26"/>
    <w:rsid w:val="00FC07FB"/>
    <w:rsid w:val="00FC2BC6"/>
    <w:rsid w:val="00FC3E96"/>
    <w:rsid w:val="00FC4C26"/>
    <w:rsid w:val="00FC5AAD"/>
    <w:rsid w:val="00FD045B"/>
    <w:rsid w:val="00FD135F"/>
    <w:rsid w:val="00FD3D33"/>
    <w:rsid w:val="00FD5C7A"/>
    <w:rsid w:val="00FD6CE5"/>
    <w:rsid w:val="00FE2322"/>
    <w:rsid w:val="00FE2398"/>
    <w:rsid w:val="00FE2ECF"/>
    <w:rsid w:val="00FE4AA0"/>
    <w:rsid w:val="00FE5940"/>
    <w:rsid w:val="00FF0303"/>
    <w:rsid w:val="00FF71C4"/>
    <w:rsid w:val="01127D8D"/>
    <w:rsid w:val="02447465"/>
    <w:rsid w:val="038765E1"/>
    <w:rsid w:val="05841875"/>
    <w:rsid w:val="08326C53"/>
    <w:rsid w:val="08A71785"/>
    <w:rsid w:val="0A1D482C"/>
    <w:rsid w:val="0A602640"/>
    <w:rsid w:val="0C734DB5"/>
    <w:rsid w:val="0F916ED0"/>
    <w:rsid w:val="0FF418E1"/>
    <w:rsid w:val="113E0211"/>
    <w:rsid w:val="15D70D55"/>
    <w:rsid w:val="1728438F"/>
    <w:rsid w:val="17C93A51"/>
    <w:rsid w:val="18976A13"/>
    <w:rsid w:val="1912642D"/>
    <w:rsid w:val="1A3F1240"/>
    <w:rsid w:val="1A5E3A63"/>
    <w:rsid w:val="1BDB333C"/>
    <w:rsid w:val="1DAB266E"/>
    <w:rsid w:val="232B5127"/>
    <w:rsid w:val="237A046F"/>
    <w:rsid w:val="26DB06E7"/>
    <w:rsid w:val="28952A15"/>
    <w:rsid w:val="2BF452D6"/>
    <w:rsid w:val="2C4005A5"/>
    <w:rsid w:val="2CE01A5B"/>
    <w:rsid w:val="2F551C14"/>
    <w:rsid w:val="306C7510"/>
    <w:rsid w:val="31265CDC"/>
    <w:rsid w:val="316A74CC"/>
    <w:rsid w:val="31D9307D"/>
    <w:rsid w:val="353731B0"/>
    <w:rsid w:val="35CB0088"/>
    <w:rsid w:val="368C77BE"/>
    <w:rsid w:val="39F5540C"/>
    <w:rsid w:val="3BA7410D"/>
    <w:rsid w:val="3DC16AED"/>
    <w:rsid w:val="3F906E2A"/>
    <w:rsid w:val="40A0338B"/>
    <w:rsid w:val="419C1560"/>
    <w:rsid w:val="469E502F"/>
    <w:rsid w:val="47F66FCA"/>
    <w:rsid w:val="4B963D5D"/>
    <w:rsid w:val="4CC14467"/>
    <w:rsid w:val="4F9859AE"/>
    <w:rsid w:val="4FD82534"/>
    <w:rsid w:val="50443607"/>
    <w:rsid w:val="50CF0154"/>
    <w:rsid w:val="51914B3A"/>
    <w:rsid w:val="53D71A2B"/>
    <w:rsid w:val="54556DFC"/>
    <w:rsid w:val="586E074F"/>
    <w:rsid w:val="59A66DC7"/>
    <w:rsid w:val="5D393D58"/>
    <w:rsid w:val="62081720"/>
    <w:rsid w:val="63245CF8"/>
    <w:rsid w:val="63432874"/>
    <w:rsid w:val="65267FD2"/>
    <w:rsid w:val="68B038FD"/>
    <w:rsid w:val="69122328"/>
    <w:rsid w:val="6CD4507F"/>
    <w:rsid w:val="6D026BA8"/>
    <w:rsid w:val="71D61A9E"/>
    <w:rsid w:val="76E540A7"/>
    <w:rsid w:val="78F84608"/>
    <w:rsid w:val="7B6544E0"/>
    <w:rsid w:val="7BA67B62"/>
    <w:rsid w:val="7BE71016"/>
    <w:rsid w:val="7CCD0D0D"/>
    <w:rsid w:val="7CFF343E"/>
    <w:rsid w:val="7DB40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9"/>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annotation reference"/>
    <w:basedOn w:val="7"/>
    <w:unhideWhenUsed/>
    <w:qFormat/>
    <w:uiPriority w:val="99"/>
    <w:rPr>
      <w:sz w:val="21"/>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正文-海通 Char"/>
    <w:link w:val="13"/>
    <w:qFormat/>
    <w:uiPriority w:val="0"/>
    <w:rPr>
      <w:rFonts w:ascii="Cambria" w:hAnsi="Cambria" w:eastAsia="楷体_GB2312"/>
      <w:sz w:val="22"/>
    </w:rPr>
  </w:style>
  <w:style w:type="paragraph" w:customStyle="1" w:styleId="13">
    <w:name w:val="正文-海通"/>
    <w:basedOn w:val="1"/>
    <w:link w:val="12"/>
    <w:qFormat/>
    <w:uiPriority w:val="0"/>
    <w:pPr>
      <w:spacing w:beforeLines="50" w:afterLines="50"/>
    </w:pPr>
    <w:rPr>
      <w:rFonts w:ascii="Cambria" w:hAnsi="Cambria" w:eastAsia="楷体_GB2312" w:cstheme="minorBidi"/>
      <w:sz w:val="22"/>
      <w:szCs w:val="22"/>
    </w:rPr>
  </w:style>
  <w:style w:type="character" w:customStyle="1" w:styleId="14">
    <w:name w:val="页脚 Char"/>
    <w:basedOn w:val="7"/>
    <w:link w:val="5"/>
    <w:qFormat/>
    <w:uiPriority w:val="99"/>
    <w:rPr>
      <w:rFonts w:ascii="Times New Roman" w:hAnsi="Times New Roman" w:eastAsia="宋体" w:cs="Times New Roman"/>
      <w:sz w:val="18"/>
      <w:szCs w:val="18"/>
    </w:rPr>
  </w:style>
  <w:style w:type="paragraph" w:customStyle="1" w:styleId="15">
    <w:name w:val="列出段落1"/>
    <w:basedOn w:val="1"/>
    <w:qFormat/>
    <w:uiPriority w:val="34"/>
    <w:pPr>
      <w:spacing w:line="360" w:lineRule="auto"/>
      <w:ind w:firstLine="420" w:firstLineChars="200"/>
    </w:pPr>
    <w:rPr>
      <w:rFonts w:ascii="Calibri" w:hAnsi="Calibri"/>
      <w:szCs w:val="22"/>
    </w:rPr>
  </w:style>
  <w:style w:type="paragraph" w:customStyle="1" w:styleId="16">
    <w:name w:val="列出段落2"/>
    <w:basedOn w:val="1"/>
    <w:qFormat/>
    <w:uiPriority w:val="34"/>
    <w:pPr>
      <w:ind w:left="720"/>
      <w:contextualSpacing/>
    </w:pPr>
  </w:style>
  <w:style w:type="character" w:customStyle="1" w:styleId="17">
    <w:name w:val="批注框文本 Char"/>
    <w:basedOn w:val="7"/>
    <w:link w:val="4"/>
    <w:semiHidden/>
    <w:qFormat/>
    <w:uiPriority w:val="99"/>
    <w:rPr>
      <w:rFonts w:ascii="Times New Roman" w:hAnsi="Times New Roman" w:eastAsia="宋体" w:cs="Times New Roman"/>
      <w:sz w:val="18"/>
      <w:szCs w:val="18"/>
    </w:rPr>
  </w:style>
  <w:style w:type="character" w:customStyle="1" w:styleId="18">
    <w:name w:val="页眉 Char"/>
    <w:basedOn w:val="7"/>
    <w:link w:val="6"/>
    <w:qFormat/>
    <w:uiPriority w:val="99"/>
    <w:rPr>
      <w:rFonts w:ascii="Times New Roman" w:hAnsi="Times New Roman" w:eastAsia="宋体" w:cs="Times New Roman"/>
      <w:sz w:val="18"/>
      <w:szCs w:val="18"/>
    </w:rPr>
  </w:style>
  <w:style w:type="character" w:customStyle="1" w:styleId="19">
    <w:name w:val="批注文字 Char"/>
    <w:basedOn w:val="7"/>
    <w:link w:val="3"/>
    <w:semiHidden/>
    <w:qFormat/>
    <w:uiPriority w:val="99"/>
    <w:rPr>
      <w:rFonts w:ascii="Times New Roman" w:hAnsi="Times New Roman" w:eastAsia="宋体" w:cs="Times New Roman"/>
      <w:szCs w:val="24"/>
    </w:rPr>
  </w:style>
  <w:style w:type="character" w:customStyle="1" w:styleId="20">
    <w:name w:val="批注主题 Char"/>
    <w:basedOn w:val="19"/>
    <w:link w:val="2"/>
    <w:semiHidden/>
    <w:qFormat/>
    <w:uiPriority w:val="99"/>
    <w:rPr>
      <w:rFonts w:ascii="Times New Roman" w:hAnsi="Times New Roman" w:eastAsia="宋体" w:cs="Times New Roman"/>
      <w:b/>
      <w:bCs/>
      <w:szCs w:val="24"/>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4C5944-8768-4324-AFF7-8E17DDE518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2601</Words>
  <Characters>14826</Characters>
  <Lines>123</Lines>
  <Paragraphs>34</Paragraphs>
  <TotalTime>1</TotalTime>
  <ScaleCrop>false</ScaleCrop>
  <LinksUpToDate>false</LinksUpToDate>
  <CharactersWithSpaces>17393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2016-04-05T04:58:00Z</dcterms:created>
  <dc:creator>lenovo</dc:creator>
  <cp:lastModifiedBy>孔彩云</cp:lastModifiedBy>
  <cp:lastPrinted>2018-04-27T01:50:00Z</cp:lastPrinted>
  <dcterms:modified xsi:type="dcterms:W3CDTF">2020-04-27T00:48:06Z</dcterms:modified>
  <cp:revision>775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